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489E2" w14:textId="7E025E63" w:rsidR="00820D8E" w:rsidRDefault="00820D8E" w:rsidP="002F3C19">
      <w:pPr>
        <w:shd w:val="clear" w:color="auto" w:fill="FFFFFF"/>
        <w:spacing w:after="0" w:line="240" w:lineRule="auto"/>
        <w:jc w:val="center"/>
        <w:rPr>
          <w:rFonts w:ascii="Cambria" w:eastAsia="Times New Roman" w:hAnsi="Cambria" w:cs="Times New Roman"/>
          <w:b/>
          <w:sz w:val="28"/>
          <w:szCs w:val="28"/>
        </w:rPr>
      </w:pPr>
      <w:r>
        <w:rPr>
          <w:rFonts w:ascii="Cambria" w:eastAsia="Times New Roman" w:hAnsi="Cambria" w:cs="Times New Roman"/>
          <w:b/>
          <w:noProof/>
          <w:sz w:val="28"/>
          <w:szCs w:val="28"/>
        </w:rPr>
        <w:drawing>
          <wp:inline distT="0" distB="0" distL="0" distR="0" wp14:anchorId="126E7369" wp14:editId="324E398B">
            <wp:extent cx="2438400" cy="46990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38400" cy="469900"/>
                    </a:xfrm>
                    <a:prstGeom prst="rect">
                      <a:avLst/>
                    </a:prstGeom>
                  </pic:spPr>
                </pic:pic>
              </a:graphicData>
            </a:graphic>
          </wp:inline>
        </w:drawing>
      </w:r>
    </w:p>
    <w:p w14:paraId="3BEBF473" w14:textId="77777777" w:rsidR="00820D8E" w:rsidRDefault="00820D8E" w:rsidP="002F3C19">
      <w:pPr>
        <w:shd w:val="clear" w:color="auto" w:fill="FFFFFF"/>
        <w:spacing w:after="0" w:line="240" w:lineRule="auto"/>
        <w:jc w:val="center"/>
        <w:rPr>
          <w:rFonts w:ascii="Cambria" w:eastAsia="Times New Roman" w:hAnsi="Cambria" w:cs="Times New Roman"/>
          <w:b/>
          <w:sz w:val="28"/>
          <w:szCs w:val="28"/>
        </w:rPr>
      </w:pPr>
    </w:p>
    <w:p w14:paraId="5330B098" w14:textId="77777777" w:rsidR="0008751F" w:rsidRDefault="0008751F" w:rsidP="0008751F">
      <w:pPr>
        <w:shd w:val="clear" w:color="auto" w:fill="FFFFFF"/>
        <w:spacing w:after="0" w:line="240" w:lineRule="auto"/>
        <w:jc w:val="center"/>
        <w:rPr>
          <w:rFonts w:ascii="Cambria" w:eastAsia="Times New Roman" w:hAnsi="Cambria" w:cs="Times New Roman"/>
          <w:b/>
          <w:sz w:val="28"/>
          <w:szCs w:val="28"/>
        </w:rPr>
      </w:pPr>
    </w:p>
    <w:p w14:paraId="54F993A5" w14:textId="77777777" w:rsidR="0008751F" w:rsidRDefault="0008751F" w:rsidP="0008751F">
      <w:pPr>
        <w:shd w:val="clear" w:color="auto" w:fill="FFFFFF"/>
        <w:spacing w:after="0" w:line="240" w:lineRule="auto"/>
        <w:jc w:val="center"/>
        <w:rPr>
          <w:rFonts w:ascii="Cambria" w:eastAsia="Times New Roman" w:hAnsi="Cambria" w:cs="Times New Roman"/>
          <w:b/>
          <w:sz w:val="28"/>
          <w:szCs w:val="28"/>
        </w:rPr>
      </w:pPr>
    </w:p>
    <w:p w14:paraId="33C52951" w14:textId="77777777" w:rsidR="0008751F" w:rsidRDefault="0008751F" w:rsidP="0008751F">
      <w:pPr>
        <w:shd w:val="clear" w:color="auto" w:fill="FFFFFF"/>
        <w:spacing w:after="0" w:line="240" w:lineRule="auto"/>
        <w:jc w:val="center"/>
        <w:rPr>
          <w:rFonts w:ascii="Cambria" w:eastAsia="Times New Roman" w:hAnsi="Cambria" w:cs="Times New Roman"/>
          <w:b/>
          <w:sz w:val="28"/>
          <w:szCs w:val="28"/>
        </w:rPr>
      </w:pPr>
    </w:p>
    <w:p w14:paraId="75ED6F4F" w14:textId="77777777" w:rsidR="0008751F" w:rsidRDefault="0008751F" w:rsidP="0008751F">
      <w:pPr>
        <w:shd w:val="clear" w:color="auto" w:fill="FFFFFF"/>
        <w:spacing w:after="0" w:line="240" w:lineRule="auto"/>
        <w:jc w:val="center"/>
        <w:rPr>
          <w:rFonts w:ascii="Cambria" w:eastAsia="Times New Roman" w:hAnsi="Cambria" w:cs="Times New Roman"/>
          <w:b/>
          <w:sz w:val="28"/>
          <w:szCs w:val="28"/>
        </w:rPr>
      </w:pPr>
    </w:p>
    <w:p w14:paraId="57246B8E" w14:textId="77777777" w:rsidR="0008751F" w:rsidRDefault="0008751F" w:rsidP="0008751F">
      <w:pPr>
        <w:shd w:val="clear" w:color="auto" w:fill="FFFFFF"/>
        <w:spacing w:after="0" w:line="240" w:lineRule="auto"/>
        <w:jc w:val="center"/>
        <w:rPr>
          <w:rFonts w:ascii="Cambria" w:eastAsia="Times New Roman" w:hAnsi="Cambria" w:cs="Times New Roman"/>
          <w:b/>
          <w:sz w:val="28"/>
          <w:szCs w:val="28"/>
        </w:rPr>
      </w:pPr>
    </w:p>
    <w:p w14:paraId="2F2A974A" w14:textId="77777777" w:rsidR="0008751F" w:rsidRDefault="0008751F" w:rsidP="0008751F">
      <w:pPr>
        <w:shd w:val="clear" w:color="auto" w:fill="FFFFFF"/>
        <w:spacing w:after="0" w:line="240" w:lineRule="auto"/>
        <w:jc w:val="center"/>
        <w:rPr>
          <w:rFonts w:ascii="Cambria" w:eastAsia="Times New Roman" w:hAnsi="Cambria" w:cs="Times New Roman"/>
          <w:b/>
          <w:sz w:val="28"/>
          <w:szCs w:val="28"/>
        </w:rPr>
      </w:pPr>
    </w:p>
    <w:p w14:paraId="02957195" w14:textId="2B3F1C3A" w:rsidR="002F3C19" w:rsidRPr="001B278F" w:rsidRDefault="002F3C19" w:rsidP="0008751F">
      <w:pPr>
        <w:shd w:val="clear" w:color="auto" w:fill="FFFFFF"/>
        <w:spacing w:after="0" w:line="240" w:lineRule="auto"/>
        <w:jc w:val="center"/>
        <w:rPr>
          <w:rFonts w:ascii="Cambria" w:eastAsia="Times New Roman" w:hAnsi="Cambria" w:cs="Times New Roman"/>
          <w:b/>
          <w:sz w:val="28"/>
          <w:szCs w:val="28"/>
        </w:rPr>
      </w:pPr>
      <w:r w:rsidRPr="001B278F">
        <w:rPr>
          <w:rFonts w:ascii="Cambria" w:eastAsia="Times New Roman" w:hAnsi="Cambria" w:cs="Times New Roman"/>
          <w:b/>
          <w:sz w:val="28"/>
          <w:szCs w:val="28"/>
        </w:rPr>
        <w:t>COVID-19 Impacts on Arkansas’ Agricultural and Rural Economies</w:t>
      </w:r>
    </w:p>
    <w:p w14:paraId="3A330B50" w14:textId="77777777" w:rsidR="002F3C19" w:rsidRPr="001B278F" w:rsidRDefault="002F3C19" w:rsidP="002F3C19">
      <w:pPr>
        <w:shd w:val="clear" w:color="auto" w:fill="FFFFFF"/>
        <w:spacing w:after="0" w:line="240" w:lineRule="auto"/>
        <w:jc w:val="center"/>
        <w:rPr>
          <w:rFonts w:ascii="Cambria" w:eastAsia="Times New Roman" w:hAnsi="Cambria" w:cs="Times New Roman"/>
          <w:b/>
        </w:rPr>
      </w:pPr>
    </w:p>
    <w:p w14:paraId="5345E005" w14:textId="77777777" w:rsidR="00FF0C3E" w:rsidRPr="001B278F" w:rsidRDefault="00FF0C3E" w:rsidP="002F3C19">
      <w:pPr>
        <w:shd w:val="clear" w:color="auto" w:fill="FFFFFF"/>
        <w:spacing w:after="0" w:line="240" w:lineRule="auto"/>
        <w:jc w:val="center"/>
        <w:rPr>
          <w:rFonts w:ascii="Cambria" w:eastAsia="Times New Roman" w:hAnsi="Cambria" w:cs="Times New Roman"/>
          <w:b/>
        </w:rPr>
      </w:pPr>
    </w:p>
    <w:p w14:paraId="3AAFF622" w14:textId="2A8E623B" w:rsidR="002F3C19" w:rsidRPr="001B278F" w:rsidRDefault="002F3C19" w:rsidP="00A2074D">
      <w:pPr>
        <w:shd w:val="clear" w:color="auto" w:fill="FFFFFF"/>
        <w:spacing w:after="0" w:line="240" w:lineRule="auto"/>
        <w:jc w:val="center"/>
        <w:rPr>
          <w:rFonts w:ascii="Cambria" w:eastAsia="Times New Roman" w:hAnsi="Cambria" w:cs="Times New Roman"/>
          <w:b/>
          <w:sz w:val="52"/>
          <w:szCs w:val="52"/>
        </w:rPr>
      </w:pPr>
      <w:r w:rsidRPr="001B278F">
        <w:rPr>
          <w:rFonts w:ascii="Cambria" w:eastAsia="Times New Roman" w:hAnsi="Cambria" w:cs="Times New Roman"/>
          <w:b/>
          <w:sz w:val="52"/>
          <w:szCs w:val="52"/>
        </w:rPr>
        <w:t xml:space="preserve">UPDATE: </w:t>
      </w:r>
      <w:r w:rsidR="00D172D9">
        <w:rPr>
          <w:rFonts w:ascii="Cambria" w:eastAsia="Times New Roman" w:hAnsi="Cambria" w:cs="Times New Roman"/>
          <w:b/>
          <w:sz w:val="52"/>
          <w:szCs w:val="52"/>
        </w:rPr>
        <w:t>Gasoline Price Situation and Outlook</w:t>
      </w:r>
    </w:p>
    <w:p w14:paraId="0B8259C9" w14:textId="77777777" w:rsidR="002F3C19" w:rsidRPr="001B278F" w:rsidRDefault="002F3C19" w:rsidP="002F3C19">
      <w:pPr>
        <w:shd w:val="clear" w:color="auto" w:fill="FFFFFF"/>
        <w:spacing w:after="0" w:line="240" w:lineRule="auto"/>
        <w:rPr>
          <w:rFonts w:ascii="Cambria" w:eastAsia="Times New Roman" w:hAnsi="Cambria" w:cs="Times New Roman"/>
          <w:b/>
        </w:rPr>
      </w:pPr>
    </w:p>
    <w:p w14:paraId="22BB28EC" w14:textId="77777777" w:rsidR="002F3C19" w:rsidRPr="001B278F" w:rsidRDefault="002F3C19" w:rsidP="002F3C19">
      <w:pPr>
        <w:shd w:val="clear" w:color="auto" w:fill="FFFFFF"/>
        <w:spacing w:after="0" w:line="240" w:lineRule="auto"/>
        <w:rPr>
          <w:rFonts w:ascii="Cambria" w:eastAsia="Times New Roman" w:hAnsi="Cambria" w:cs="Times New Roman"/>
          <w:b/>
        </w:rPr>
      </w:pPr>
    </w:p>
    <w:p w14:paraId="011DA25B" w14:textId="77777777" w:rsidR="002F3C19" w:rsidRPr="001B278F" w:rsidRDefault="002F3C19" w:rsidP="002F3C19">
      <w:pPr>
        <w:shd w:val="clear" w:color="auto" w:fill="FFFFFF"/>
        <w:spacing w:after="0" w:line="240" w:lineRule="auto"/>
        <w:jc w:val="center"/>
        <w:rPr>
          <w:rFonts w:ascii="Cambria" w:eastAsia="Times New Roman" w:hAnsi="Cambria" w:cs="Times New Roman"/>
          <w:b/>
        </w:rPr>
      </w:pPr>
      <w:r w:rsidRPr="001B278F">
        <w:rPr>
          <w:rFonts w:ascii="Cambria" w:eastAsia="Times New Roman" w:hAnsi="Cambria" w:cs="Times New Roman"/>
          <w:b/>
        </w:rPr>
        <w:t>Prepared by:</w:t>
      </w:r>
    </w:p>
    <w:p w14:paraId="68EA2E82" w14:textId="77777777" w:rsidR="002F3C19" w:rsidRPr="001B278F" w:rsidRDefault="002F3C19" w:rsidP="002F3C19">
      <w:pPr>
        <w:shd w:val="clear" w:color="auto" w:fill="FFFFFF"/>
        <w:spacing w:after="0" w:line="240" w:lineRule="auto"/>
        <w:jc w:val="center"/>
        <w:rPr>
          <w:rFonts w:ascii="Cambria" w:eastAsia="Times New Roman" w:hAnsi="Cambria" w:cs="Times New Roman"/>
          <w:b/>
        </w:rPr>
      </w:pPr>
    </w:p>
    <w:p w14:paraId="7B072CEE" w14:textId="77777777" w:rsidR="002F3C19" w:rsidRPr="001B278F" w:rsidRDefault="002F3C19" w:rsidP="002F3C19">
      <w:pPr>
        <w:shd w:val="clear" w:color="auto" w:fill="FFFFFF"/>
        <w:spacing w:after="0" w:line="240" w:lineRule="auto"/>
        <w:jc w:val="center"/>
        <w:rPr>
          <w:rFonts w:ascii="Cambria" w:eastAsia="Times New Roman" w:hAnsi="Cambria" w:cs="Times New Roman"/>
          <w:b/>
        </w:rPr>
      </w:pPr>
    </w:p>
    <w:p w14:paraId="5D53ADDB" w14:textId="77777777" w:rsidR="002F3C19" w:rsidRPr="001B278F" w:rsidRDefault="002F3C19" w:rsidP="002F3C19">
      <w:pPr>
        <w:shd w:val="clear" w:color="auto" w:fill="FFFFFF"/>
        <w:spacing w:after="0" w:line="240" w:lineRule="auto"/>
        <w:jc w:val="center"/>
        <w:rPr>
          <w:rFonts w:ascii="Cambria" w:eastAsia="Times New Roman" w:hAnsi="Cambria" w:cs="Times New Roman"/>
          <w:b/>
        </w:rPr>
      </w:pPr>
      <w:r w:rsidRPr="001B278F">
        <w:rPr>
          <w:rFonts w:ascii="Cambria" w:eastAsia="Times New Roman" w:hAnsi="Cambria" w:cs="Times New Roman"/>
          <w:b/>
        </w:rPr>
        <w:t>John Anderson</w:t>
      </w:r>
    </w:p>
    <w:p w14:paraId="6E418D16" w14:textId="77777777" w:rsidR="002F3C19" w:rsidRPr="001B278F" w:rsidRDefault="002F3C19" w:rsidP="002F3C19">
      <w:pPr>
        <w:shd w:val="clear" w:color="auto" w:fill="FFFFFF"/>
        <w:spacing w:after="0" w:line="240" w:lineRule="auto"/>
        <w:jc w:val="center"/>
        <w:rPr>
          <w:rFonts w:ascii="Cambria" w:eastAsia="Times New Roman" w:hAnsi="Cambria" w:cs="Times New Roman"/>
          <w:b/>
        </w:rPr>
      </w:pPr>
      <w:r w:rsidRPr="001B278F">
        <w:rPr>
          <w:rFonts w:ascii="Cambria" w:eastAsia="Times New Roman" w:hAnsi="Cambria" w:cs="Times New Roman"/>
          <w:b/>
        </w:rPr>
        <w:t xml:space="preserve">Department of Agricultural Economics and Agribusiness </w:t>
      </w:r>
    </w:p>
    <w:p w14:paraId="63CE7FB9" w14:textId="77777777" w:rsidR="002F3C19" w:rsidRPr="001B278F" w:rsidRDefault="002F3C19" w:rsidP="002F3C19">
      <w:pPr>
        <w:shd w:val="clear" w:color="auto" w:fill="FFFFFF"/>
        <w:spacing w:after="0" w:line="240" w:lineRule="auto"/>
        <w:jc w:val="center"/>
        <w:rPr>
          <w:rFonts w:ascii="Cambria" w:eastAsia="Times New Roman" w:hAnsi="Cambria" w:cs="Times New Roman"/>
          <w:b/>
        </w:rPr>
      </w:pPr>
    </w:p>
    <w:p w14:paraId="0406CA6E" w14:textId="77777777" w:rsidR="002F3C19" w:rsidRPr="001B278F" w:rsidRDefault="002F3C19" w:rsidP="002F3C19">
      <w:pPr>
        <w:shd w:val="clear" w:color="auto" w:fill="FFFFFF"/>
        <w:spacing w:after="0" w:line="240" w:lineRule="auto"/>
        <w:jc w:val="center"/>
        <w:rPr>
          <w:rFonts w:ascii="Cambria" w:eastAsia="Times New Roman" w:hAnsi="Cambria" w:cs="Times New Roman"/>
          <w:b/>
        </w:rPr>
      </w:pPr>
    </w:p>
    <w:p w14:paraId="139098DC" w14:textId="77777777" w:rsidR="002F3C19" w:rsidRPr="001B278F" w:rsidRDefault="002F3C19" w:rsidP="002F3C19">
      <w:pPr>
        <w:shd w:val="clear" w:color="auto" w:fill="FFFFFF"/>
        <w:spacing w:after="0" w:line="240" w:lineRule="auto"/>
        <w:jc w:val="center"/>
        <w:rPr>
          <w:rFonts w:ascii="Cambria" w:eastAsia="Times New Roman" w:hAnsi="Cambria" w:cs="Times New Roman"/>
          <w:b/>
        </w:rPr>
      </w:pPr>
    </w:p>
    <w:p w14:paraId="2D44DA8F" w14:textId="3785FEB5" w:rsidR="002F3C19" w:rsidRPr="001B278F" w:rsidRDefault="00A2074D" w:rsidP="002F3C19">
      <w:pPr>
        <w:shd w:val="clear" w:color="auto" w:fill="FFFFFF"/>
        <w:spacing w:after="0" w:line="240" w:lineRule="auto"/>
        <w:jc w:val="center"/>
        <w:rPr>
          <w:rFonts w:ascii="Cambria" w:eastAsia="Times New Roman" w:hAnsi="Cambria" w:cs="Times New Roman"/>
          <w:b/>
        </w:rPr>
      </w:pPr>
      <w:r>
        <w:rPr>
          <w:rFonts w:ascii="Cambria" w:eastAsia="Times New Roman" w:hAnsi="Cambria" w:cs="Times New Roman"/>
          <w:b/>
        </w:rPr>
        <w:t>July 29</w:t>
      </w:r>
      <w:r w:rsidR="002F3C19" w:rsidRPr="001B278F">
        <w:rPr>
          <w:rFonts w:ascii="Cambria" w:eastAsia="Times New Roman" w:hAnsi="Cambria" w:cs="Times New Roman"/>
          <w:b/>
        </w:rPr>
        <w:t>, 202</w:t>
      </w:r>
      <w:r w:rsidR="002A6937" w:rsidRPr="001B278F">
        <w:rPr>
          <w:rFonts w:ascii="Cambria" w:eastAsia="Times New Roman" w:hAnsi="Cambria" w:cs="Times New Roman"/>
          <w:b/>
        </w:rPr>
        <w:t>1</w:t>
      </w:r>
    </w:p>
    <w:p w14:paraId="458160FD" w14:textId="77777777" w:rsidR="002F3C19" w:rsidRPr="001B278F" w:rsidRDefault="002F3C19" w:rsidP="002F3C19">
      <w:pPr>
        <w:shd w:val="clear" w:color="auto" w:fill="FFFFFF"/>
        <w:spacing w:after="0" w:line="240" w:lineRule="auto"/>
        <w:jc w:val="center"/>
        <w:rPr>
          <w:rFonts w:ascii="Cambria" w:eastAsia="Times New Roman" w:hAnsi="Cambria" w:cs="Times New Roman"/>
          <w:b/>
        </w:rPr>
      </w:pPr>
    </w:p>
    <w:p w14:paraId="633FE623" w14:textId="27226EC7" w:rsidR="00ED6032" w:rsidRDefault="002F3C19" w:rsidP="00ED6032">
      <w:pPr>
        <w:rPr>
          <w:rFonts w:ascii="Cambria" w:hAnsi="Cambria"/>
        </w:rPr>
      </w:pPr>
      <w:r w:rsidRPr="001B278F">
        <w:rPr>
          <w:rFonts w:ascii="Cambria" w:hAnsi="Cambria"/>
        </w:rPr>
        <w:br w:type="page"/>
      </w:r>
    </w:p>
    <w:p w14:paraId="26D6BF08" w14:textId="235DEA24" w:rsidR="00957B23" w:rsidRDefault="00ED6032" w:rsidP="00A2074D">
      <w:pPr>
        <w:rPr>
          <w:rFonts w:ascii="Cambria" w:hAnsi="Cambria"/>
        </w:rPr>
      </w:pPr>
      <w:r>
        <w:rPr>
          <w:rFonts w:ascii="Cambria" w:hAnsi="Cambria"/>
        </w:rPr>
        <w:lastRenderedPageBreak/>
        <w:t xml:space="preserve">According to the U.S. Department of Energy, Energy Information Administration (EIA), retail gasoline prices </w:t>
      </w:r>
      <w:r w:rsidR="00BA30DF">
        <w:rPr>
          <w:rFonts w:ascii="Cambria" w:hAnsi="Cambria"/>
        </w:rPr>
        <w:t>in the third week of July averaged $3.247 for the U.S. as a whole</w:t>
      </w:r>
      <w:r w:rsidR="00957B23">
        <w:rPr>
          <w:rFonts w:ascii="Cambria" w:hAnsi="Cambria"/>
        </w:rPr>
        <w:t>.</w:t>
      </w:r>
      <w:r w:rsidR="00BA30DF">
        <w:rPr>
          <w:rFonts w:ascii="Cambria" w:hAnsi="Cambria"/>
        </w:rPr>
        <w:t xml:space="preserve">  This was the highest weekly average gasoline price since the second week of October 2014.  Gasoline prices have fallen slightly in the past week but remain among the highest in </w:t>
      </w:r>
      <w:r w:rsidR="00DC1E7A">
        <w:rPr>
          <w:rFonts w:ascii="Cambria" w:hAnsi="Cambria"/>
        </w:rPr>
        <w:t xml:space="preserve">several </w:t>
      </w:r>
      <w:r w:rsidR="00BA30DF">
        <w:rPr>
          <w:rFonts w:ascii="Cambria" w:hAnsi="Cambria"/>
        </w:rPr>
        <w:t xml:space="preserve">years.  Of course, prices are far above last summer levels, when COVID restrictions sharply curtailed travel and, by extension, demand for gasoline.  But prices are also up from pre-COVID levels: July retail gasoline prices have averaged about 15% higher than July </w:t>
      </w:r>
      <w:r w:rsidR="00DC1E7A">
        <w:rPr>
          <w:rFonts w:ascii="Cambria" w:hAnsi="Cambria"/>
        </w:rPr>
        <w:t>20</w:t>
      </w:r>
      <w:r w:rsidR="00BA30DF">
        <w:rPr>
          <w:rFonts w:ascii="Cambria" w:hAnsi="Cambria"/>
        </w:rPr>
        <w:t>19 (and over 40% higher than last July).  Figure 1 shows weekly national average retail gasoline prices for the past ten years.</w:t>
      </w:r>
    </w:p>
    <w:p w14:paraId="36FF1D2E" w14:textId="5716EB66" w:rsidR="00BA30DF" w:rsidRDefault="00BA30DF" w:rsidP="00A2074D">
      <w:pPr>
        <w:rPr>
          <w:rFonts w:ascii="Cambria" w:hAnsi="Cambria"/>
        </w:rPr>
      </w:pPr>
      <w:r>
        <w:rPr>
          <w:noProof/>
        </w:rPr>
        <w:drawing>
          <wp:inline distT="0" distB="0" distL="0" distR="0" wp14:anchorId="25518E1C" wp14:editId="5637EBBD">
            <wp:extent cx="5486400" cy="3019425"/>
            <wp:effectExtent l="0" t="0" r="0" b="0"/>
            <wp:docPr id="1" name="Chart 1">
              <a:extLst xmlns:a="http://schemas.openxmlformats.org/drawingml/2006/main">
                <a:ext uri="{FF2B5EF4-FFF2-40B4-BE49-F238E27FC236}">
                  <a16:creationId xmlns:a16="http://schemas.microsoft.com/office/drawing/2014/main" id="{A6B937BB-EDAF-44DB-8E17-0D0279F605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0A5830F7" w14:textId="4598E432" w:rsidR="00BA30DF" w:rsidRPr="00BA30DF" w:rsidRDefault="00BA30DF" w:rsidP="00A2074D">
      <w:pPr>
        <w:rPr>
          <w:rFonts w:ascii="Cambria" w:hAnsi="Cambria"/>
          <w:sz w:val="18"/>
          <w:szCs w:val="18"/>
        </w:rPr>
      </w:pPr>
      <w:r w:rsidRPr="00BA30DF">
        <w:rPr>
          <w:rFonts w:ascii="Cambria" w:hAnsi="Cambria"/>
          <w:sz w:val="18"/>
          <w:szCs w:val="18"/>
        </w:rPr>
        <w:t>Data Source: U.S. Department of Commerce, Energy Information Administration</w:t>
      </w:r>
    </w:p>
    <w:p w14:paraId="2EDB429F" w14:textId="77777777" w:rsidR="00BA30DF" w:rsidRDefault="00BA30DF" w:rsidP="00BA30DF">
      <w:pPr>
        <w:spacing w:after="0"/>
        <w:rPr>
          <w:rFonts w:ascii="Cambria" w:hAnsi="Cambria"/>
        </w:rPr>
      </w:pPr>
      <w:r w:rsidRPr="00BA30DF">
        <w:rPr>
          <w:rFonts w:ascii="Cambria" w:hAnsi="Cambria"/>
          <w:b/>
        </w:rPr>
        <w:t xml:space="preserve">Figure 1. </w:t>
      </w:r>
      <w:r>
        <w:rPr>
          <w:rFonts w:ascii="Cambria" w:hAnsi="Cambria"/>
        </w:rPr>
        <w:t xml:space="preserve">Weekly U.S. Retail Gasoline Price: All Grades, All Formulations, </w:t>
      </w:r>
    </w:p>
    <w:p w14:paraId="1577300D" w14:textId="3D149716" w:rsidR="00BA30DF" w:rsidRDefault="00BA30DF" w:rsidP="00A2074D">
      <w:pPr>
        <w:rPr>
          <w:rFonts w:ascii="Cambria" w:hAnsi="Cambria"/>
        </w:rPr>
      </w:pPr>
      <w:r>
        <w:rPr>
          <w:rFonts w:ascii="Cambria" w:hAnsi="Cambria"/>
        </w:rPr>
        <w:t>January 2011 through July 2021</w:t>
      </w:r>
    </w:p>
    <w:p w14:paraId="69D82615" w14:textId="5281A254" w:rsidR="00EC6674" w:rsidRDefault="00E7035A" w:rsidP="00A2074D">
      <w:pPr>
        <w:rPr>
          <w:rFonts w:ascii="Cambria" w:hAnsi="Cambria"/>
        </w:rPr>
      </w:pPr>
      <w:r>
        <w:rPr>
          <w:rFonts w:ascii="Cambria" w:hAnsi="Cambria"/>
        </w:rPr>
        <w:t>So far this year, g</w:t>
      </w:r>
      <w:r w:rsidR="00BA30DF">
        <w:rPr>
          <w:rFonts w:ascii="Cambria" w:hAnsi="Cambria"/>
        </w:rPr>
        <w:t xml:space="preserve">asoline prices have been supported by factors on both the demand and supply sides of the market.  </w:t>
      </w:r>
      <w:r w:rsidR="005E0F35">
        <w:rPr>
          <w:rFonts w:ascii="Cambria" w:hAnsi="Cambria"/>
        </w:rPr>
        <w:t xml:space="preserve">Strong demand is clearly related to a resumption of more normal travel behavior following the disruptions of the pandemic.  EIA reports weekly product supplied of finished motor gasoline.  While this data is collected from suppliers, it essentially measures weekly </w:t>
      </w:r>
      <w:r>
        <w:rPr>
          <w:rFonts w:ascii="Cambria" w:hAnsi="Cambria"/>
        </w:rPr>
        <w:t xml:space="preserve">gasoline </w:t>
      </w:r>
      <w:r w:rsidR="005E0F35">
        <w:rPr>
          <w:rFonts w:ascii="Cambria" w:hAnsi="Cambria"/>
        </w:rPr>
        <w:t>consumption and is the closest thin</w:t>
      </w:r>
      <w:r>
        <w:rPr>
          <w:rFonts w:ascii="Cambria" w:hAnsi="Cambria"/>
        </w:rPr>
        <w:t>g</w:t>
      </w:r>
      <w:r w:rsidR="005E0F35">
        <w:rPr>
          <w:rFonts w:ascii="Cambria" w:hAnsi="Cambria"/>
        </w:rPr>
        <w:t xml:space="preserve"> to real-time demand information that exists for this market.  Figure 2 shows weekly product supplied volumes for the past four years, illustrating both the massive shock of the pandemic as well as the recovery in demand so far this year.  </w:t>
      </w:r>
    </w:p>
    <w:p w14:paraId="28F108C0" w14:textId="6ACC99C5" w:rsidR="005E0F35" w:rsidRDefault="005E0F35" w:rsidP="00A2074D">
      <w:pPr>
        <w:rPr>
          <w:rFonts w:ascii="Cambria" w:hAnsi="Cambria"/>
        </w:rPr>
      </w:pPr>
      <w:r>
        <w:rPr>
          <w:rFonts w:ascii="Cambria" w:hAnsi="Cambria"/>
        </w:rPr>
        <w:t xml:space="preserve">Gasoline off-take lagged </w:t>
      </w:r>
      <w:r w:rsidR="006671AC">
        <w:rPr>
          <w:rFonts w:ascii="Cambria" w:hAnsi="Cambria"/>
        </w:rPr>
        <w:t>behind</w:t>
      </w:r>
      <w:r w:rsidR="00062BC6">
        <w:rPr>
          <w:rFonts w:ascii="Cambria" w:hAnsi="Cambria"/>
        </w:rPr>
        <w:t xml:space="preserve"> </w:t>
      </w:r>
      <w:r>
        <w:rPr>
          <w:rFonts w:ascii="Cambria" w:hAnsi="Cambria"/>
        </w:rPr>
        <w:t xml:space="preserve">pre-pandemic levels from the beginning of widespread shutdowns in late-March/early-April </w:t>
      </w:r>
      <w:r w:rsidR="00E7035A">
        <w:rPr>
          <w:rFonts w:ascii="Cambria" w:hAnsi="Cambria"/>
        </w:rPr>
        <w:t xml:space="preserve">2020 </w:t>
      </w:r>
      <w:r>
        <w:rPr>
          <w:rFonts w:ascii="Cambria" w:hAnsi="Cambria"/>
        </w:rPr>
        <w:t xml:space="preserve">through just a few weeks ago. A close look at figure 2 reveals that gasoline consumption in 2021 has been notably strong.  Gasoline consumption virtually always increases from January (when demand is seasonally weak) to July (when demand is at or near its seasonal peak).  This year, </w:t>
      </w:r>
      <w:r w:rsidR="006041CE">
        <w:rPr>
          <w:rFonts w:ascii="Cambria" w:hAnsi="Cambria"/>
        </w:rPr>
        <w:t xml:space="preserve">consumption increased 23% from January to July.  This is the largest seasonal increase in gasoline consumption in EIA data going back to 1992.  Over the past ten years, the seasonal increase has averaged right at 10%, less than half of this year’s seasonal gain.  Prior to 2021, the largest January-to-July increase in consumption occurred in 2017, when consumption </w:t>
      </w:r>
      <w:r w:rsidR="006041CE">
        <w:rPr>
          <w:rFonts w:ascii="Cambria" w:hAnsi="Cambria"/>
        </w:rPr>
        <w:lastRenderedPageBreak/>
        <w:t xml:space="preserve">rose by 19%.  Notably, in that year, retail gasoline prices fell a couple of percent between January and July.  This year, the sharp seasonal increase in off-take has occurred despite the fact that prices have risen by over 30%.  </w:t>
      </w:r>
    </w:p>
    <w:p w14:paraId="37D1C1CE" w14:textId="6902EDF6" w:rsidR="005E0F35" w:rsidRDefault="005E0F35" w:rsidP="00A2074D">
      <w:pPr>
        <w:rPr>
          <w:rFonts w:ascii="Cambria" w:hAnsi="Cambria"/>
        </w:rPr>
      </w:pPr>
      <w:r>
        <w:rPr>
          <w:noProof/>
        </w:rPr>
        <w:drawing>
          <wp:inline distT="0" distB="0" distL="0" distR="0" wp14:anchorId="306FF393" wp14:editId="4331939A">
            <wp:extent cx="4924425" cy="2924175"/>
            <wp:effectExtent l="0" t="0" r="0" b="0"/>
            <wp:docPr id="2" name="Chart 2">
              <a:extLst xmlns:a="http://schemas.openxmlformats.org/drawingml/2006/main">
                <a:ext uri="{FF2B5EF4-FFF2-40B4-BE49-F238E27FC236}">
                  <a16:creationId xmlns:a16="http://schemas.microsoft.com/office/drawing/2014/main" id="{C67D091F-7782-40F2-AC5F-AB1DF9F11C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2CB706E" w14:textId="77777777" w:rsidR="005E0F35" w:rsidRPr="00BA30DF" w:rsidRDefault="005E0F35" w:rsidP="005E0F35">
      <w:pPr>
        <w:rPr>
          <w:rFonts w:ascii="Cambria" w:hAnsi="Cambria"/>
          <w:sz w:val="18"/>
          <w:szCs w:val="18"/>
        </w:rPr>
      </w:pPr>
      <w:bookmarkStart w:id="0" w:name="_Hlk78464340"/>
      <w:r w:rsidRPr="00BA30DF">
        <w:rPr>
          <w:rFonts w:ascii="Cambria" w:hAnsi="Cambria"/>
          <w:sz w:val="18"/>
          <w:szCs w:val="18"/>
        </w:rPr>
        <w:t>Data Source: U.S. Department of Commerce, Energy Information Administration</w:t>
      </w:r>
    </w:p>
    <w:p w14:paraId="25467658" w14:textId="0ABAD89C" w:rsidR="005E0F35" w:rsidRDefault="005E0F35" w:rsidP="005E0F35">
      <w:pPr>
        <w:spacing w:after="0"/>
        <w:rPr>
          <w:rFonts w:ascii="Cambria" w:hAnsi="Cambria"/>
        </w:rPr>
      </w:pPr>
      <w:r w:rsidRPr="00BA30DF">
        <w:rPr>
          <w:rFonts w:ascii="Cambria" w:hAnsi="Cambria"/>
          <w:b/>
        </w:rPr>
        <w:t xml:space="preserve">Figure </w:t>
      </w:r>
      <w:r>
        <w:rPr>
          <w:rFonts w:ascii="Cambria" w:hAnsi="Cambria"/>
          <w:b/>
        </w:rPr>
        <w:t>2</w:t>
      </w:r>
      <w:r w:rsidRPr="00BA30DF">
        <w:rPr>
          <w:rFonts w:ascii="Cambria" w:hAnsi="Cambria"/>
          <w:b/>
        </w:rPr>
        <w:t xml:space="preserve">. </w:t>
      </w:r>
      <w:r>
        <w:rPr>
          <w:rFonts w:ascii="Cambria" w:hAnsi="Cambria"/>
        </w:rPr>
        <w:t>Weekly U.S. Product Supplied of Finished Motor Gasoline: 2018 through 2021</w:t>
      </w:r>
      <w:bookmarkEnd w:id="0"/>
    </w:p>
    <w:p w14:paraId="23BFF3F4" w14:textId="2F28B77E" w:rsidR="005E0F35" w:rsidRDefault="005E0F35" w:rsidP="00A2074D">
      <w:pPr>
        <w:rPr>
          <w:rFonts w:ascii="Cambria" w:hAnsi="Cambria"/>
        </w:rPr>
      </w:pPr>
    </w:p>
    <w:p w14:paraId="48143005" w14:textId="571F12E2" w:rsidR="00E26224" w:rsidRDefault="00672DA3" w:rsidP="00A2074D">
      <w:pPr>
        <w:rPr>
          <w:rFonts w:ascii="Cambria" w:hAnsi="Cambria"/>
        </w:rPr>
      </w:pPr>
      <w:r>
        <w:rPr>
          <w:rFonts w:ascii="Cambria" w:hAnsi="Cambria"/>
        </w:rPr>
        <w:t xml:space="preserve">Higher consumption in spite of higher prices </w:t>
      </w:r>
      <w:r w:rsidR="00E7035A">
        <w:rPr>
          <w:rFonts w:ascii="Cambria" w:hAnsi="Cambria"/>
        </w:rPr>
        <w:t>is</w:t>
      </w:r>
      <w:r>
        <w:rPr>
          <w:rFonts w:ascii="Cambria" w:hAnsi="Cambria"/>
        </w:rPr>
        <w:t xml:space="preserve"> an unmistakable sign of strong demand. We can get a bit clearer view of what has gone on with summer gasoline demand over the past couple of years by digging deeper into EIA’s product supplied data. Plotting July average weekly product supplied against the real (i.e., inflation-adjusted) retail gasoline price illustrates the inverse relationship between consumption </w:t>
      </w:r>
      <w:r w:rsidR="00E7035A">
        <w:rPr>
          <w:rFonts w:ascii="Cambria" w:hAnsi="Cambria"/>
        </w:rPr>
        <w:t>and</w:t>
      </w:r>
      <w:r>
        <w:rPr>
          <w:rFonts w:ascii="Cambria" w:hAnsi="Cambria"/>
        </w:rPr>
        <w:t xml:space="preserve"> price characteristic of product demand functions.  This is shown in figure 3 below.</w:t>
      </w:r>
    </w:p>
    <w:p w14:paraId="4F8BB8A1" w14:textId="30B1E456" w:rsidR="00672DA3" w:rsidRDefault="00672DA3" w:rsidP="00A2074D">
      <w:pPr>
        <w:rPr>
          <w:rFonts w:ascii="Cambria" w:hAnsi="Cambria"/>
        </w:rPr>
      </w:pPr>
      <w:r>
        <w:rPr>
          <w:rFonts w:ascii="Cambria" w:hAnsi="Cambria"/>
        </w:rPr>
        <w:t xml:space="preserve">The relationship between summer gasoline consumption and price was reasonably stable from 2009 to 2018: lower prices led to higher consumption (and </w:t>
      </w:r>
      <w:r w:rsidR="004037BC">
        <w:rPr>
          <w:rFonts w:ascii="Cambria" w:hAnsi="Cambria"/>
        </w:rPr>
        <w:t>vice</w:t>
      </w:r>
      <w:r>
        <w:rPr>
          <w:rFonts w:ascii="Cambria" w:hAnsi="Cambria"/>
        </w:rPr>
        <w:t xml:space="preserve"> versa) in a fairly consistent pattern.  Consumption in 2019 was also very much in line with that consistent pattern.  Obviously, that price/quantity relationship broke down in 2020: not only were prices very low but consumption </w:t>
      </w:r>
      <w:r w:rsidR="004037BC">
        <w:rPr>
          <w:rFonts w:ascii="Cambria" w:hAnsi="Cambria"/>
        </w:rPr>
        <w:t xml:space="preserve">was also low despite the lower price. In other words, demand had declined; the whole price/quantity relationship was thrown off so that consumers did not respond to market price in the same way they had been. This was clearly an effect of the pandemic, including both the impact of restrictions that made consumers unable to respond as they might otherwise would have and the voluntary risk-avoidance behavior that changed what consumers were willing to do.  </w:t>
      </w:r>
    </w:p>
    <w:p w14:paraId="45E645E3" w14:textId="7E8E9B8B" w:rsidR="004037BC" w:rsidRDefault="004037BC" w:rsidP="00A2074D">
      <w:pPr>
        <w:rPr>
          <w:rFonts w:ascii="Cambria" w:hAnsi="Cambria"/>
        </w:rPr>
      </w:pPr>
      <w:r>
        <w:rPr>
          <w:rFonts w:ascii="Cambria" w:hAnsi="Cambria"/>
        </w:rPr>
        <w:t xml:space="preserve">It appears that for 2021, gasoline demand has recovered to something close to the 2009-2018 period.  Demand appears to be actually a bit stronger than it was in the pre-pandemic year of 2019.  The evidence for this is clear in figure 3: consumption in 2019 and 2021 are almost exactly the same despite the fact that the real retail price of gasoline is almost 10% higher this year compared to 2019.  </w:t>
      </w:r>
    </w:p>
    <w:p w14:paraId="07428C85" w14:textId="6B953B4F" w:rsidR="00672DA3" w:rsidRDefault="004037BC" w:rsidP="00A2074D">
      <w:pPr>
        <w:rPr>
          <w:rFonts w:ascii="Cambria" w:hAnsi="Cambria"/>
        </w:rPr>
      </w:pPr>
      <w:r w:rsidRPr="004037BC">
        <w:rPr>
          <w:rFonts w:ascii="Cambria" w:hAnsi="Cambria"/>
          <w:noProof/>
        </w:rPr>
        <w:lastRenderedPageBreak/>
        <mc:AlternateContent>
          <mc:Choice Requires="wps">
            <w:drawing>
              <wp:anchor distT="45720" distB="45720" distL="114300" distR="114300" simplePos="0" relativeHeight="251661312" behindDoc="0" locked="0" layoutInCell="1" allowOverlap="1" wp14:anchorId="571123CF" wp14:editId="296A77B5">
                <wp:simplePos x="0" y="0"/>
                <wp:positionH relativeFrom="column">
                  <wp:posOffset>2533650</wp:posOffset>
                </wp:positionH>
                <wp:positionV relativeFrom="paragraph">
                  <wp:posOffset>1571625</wp:posOffset>
                </wp:positionV>
                <wp:extent cx="523875" cy="3048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04800"/>
                        </a:xfrm>
                        <a:prstGeom prst="rect">
                          <a:avLst/>
                        </a:prstGeom>
                        <a:noFill/>
                        <a:ln w="9525">
                          <a:noFill/>
                          <a:miter lim="800000"/>
                          <a:headEnd/>
                          <a:tailEnd/>
                        </a:ln>
                      </wps:spPr>
                      <wps:txbx>
                        <w:txbxContent>
                          <w:p w14:paraId="786DFB71" w14:textId="7B2E958F" w:rsidR="004037BC" w:rsidRDefault="004037BC" w:rsidP="004037BC">
                            <w: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1123CF" id="_x0000_t202" coordsize="21600,21600" o:spt="202" path="m,l,21600r21600,l21600,xe">
                <v:stroke joinstyle="miter"/>
                <v:path gradientshapeok="t" o:connecttype="rect"/>
              </v:shapetype>
              <v:shape id="Text Box 2" o:spid="_x0000_s1026" type="#_x0000_t202" style="position:absolute;margin-left:199.5pt;margin-top:123.75pt;width:41.25pt;height:2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" filled="f" stroked="f">
                <v:textbox>
                  <w:txbxContent>
                    <w:p w14:paraId="786DFB71" w14:textId="7B2E958F" w:rsidR="004037BC" w:rsidRDefault="004037BC" w:rsidP="004037BC">
                      <w:r>
                        <w:t>20</w:t>
                      </w:r>
                      <w:r>
                        <w:t>19</w:t>
                      </w:r>
                    </w:p>
                  </w:txbxContent>
                </v:textbox>
              </v:shape>
            </w:pict>
          </mc:Fallback>
        </mc:AlternateContent>
      </w:r>
      <w:r w:rsidRPr="004037BC">
        <w:rPr>
          <w:rFonts w:ascii="Cambria" w:hAnsi="Cambria"/>
          <w:noProof/>
        </w:rPr>
        <mc:AlternateContent>
          <mc:Choice Requires="wps">
            <w:drawing>
              <wp:anchor distT="45720" distB="45720" distL="114300" distR="114300" simplePos="0" relativeHeight="251659264" behindDoc="0" locked="0" layoutInCell="1" allowOverlap="1" wp14:anchorId="175CA8FC" wp14:editId="30EC2185">
                <wp:simplePos x="0" y="0"/>
                <wp:positionH relativeFrom="column">
                  <wp:posOffset>990600</wp:posOffset>
                </wp:positionH>
                <wp:positionV relativeFrom="paragraph">
                  <wp:posOffset>2019300</wp:posOffset>
                </wp:positionV>
                <wp:extent cx="523875" cy="3048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04800"/>
                        </a:xfrm>
                        <a:prstGeom prst="rect">
                          <a:avLst/>
                        </a:prstGeom>
                        <a:noFill/>
                        <a:ln w="9525">
                          <a:noFill/>
                          <a:miter lim="800000"/>
                          <a:headEnd/>
                          <a:tailEnd/>
                        </a:ln>
                      </wps:spPr>
                      <wps:txbx>
                        <w:txbxContent>
                          <w:p w14:paraId="3AE40FE2" w14:textId="6B74240E" w:rsidR="004037BC" w:rsidRDefault="004037BC">
                            <w: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CA8FC" id="_x0000_s1027" type="#_x0000_t202" style="position:absolute;margin-left:78pt;margin-top:159pt;width:41.25pt;height:2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" filled="f" stroked="f">
                <v:textbox>
                  <w:txbxContent>
                    <w:p w14:paraId="3AE40FE2" w14:textId="6B74240E" w:rsidR="004037BC" w:rsidRDefault="004037BC">
                      <w:r>
                        <w:t>2020</w:t>
                      </w:r>
                    </w:p>
                  </w:txbxContent>
                </v:textbox>
              </v:shape>
            </w:pict>
          </mc:Fallback>
        </mc:AlternateContent>
      </w:r>
      <w:r w:rsidR="00672DA3">
        <w:rPr>
          <w:noProof/>
        </w:rPr>
        <w:drawing>
          <wp:inline distT="0" distB="0" distL="0" distR="0" wp14:anchorId="42D426EE" wp14:editId="3044664A">
            <wp:extent cx="5105400" cy="3190875"/>
            <wp:effectExtent l="0" t="0" r="0" b="0"/>
            <wp:docPr id="4" name="Chart 4">
              <a:extLst xmlns:a="http://schemas.openxmlformats.org/drawingml/2006/main">
                <a:ext uri="{FF2B5EF4-FFF2-40B4-BE49-F238E27FC236}">
                  <a16:creationId xmlns:a16="http://schemas.microsoft.com/office/drawing/2014/main" id="{78BF2769-6E6F-42D6-A993-CEDD429B0B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ABF7335" w14:textId="25CF0B80" w:rsidR="00672DA3" w:rsidRPr="00BA30DF" w:rsidRDefault="00672DA3" w:rsidP="00672DA3">
      <w:pPr>
        <w:rPr>
          <w:rFonts w:ascii="Cambria" w:hAnsi="Cambria"/>
          <w:sz w:val="18"/>
          <w:szCs w:val="18"/>
        </w:rPr>
      </w:pPr>
      <w:r w:rsidRPr="00BA30DF">
        <w:rPr>
          <w:rFonts w:ascii="Cambria" w:hAnsi="Cambria"/>
          <w:sz w:val="18"/>
          <w:szCs w:val="18"/>
        </w:rPr>
        <w:t>Data Source: U.S. Department of Commerce, Energy Information Administration</w:t>
      </w:r>
      <w:r>
        <w:rPr>
          <w:rFonts w:ascii="Cambria" w:hAnsi="Cambria"/>
          <w:sz w:val="18"/>
          <w:szCs w:val="18"/>
        </w:rPr>
        <w:t xml:space="preserve"> and U.S. Bureau of Labor Statistics</w:t>
      </w:r>
    </w:p>
    <w:p w14:paraId="08D5C9B8" w14:textId="77777777" w:rsidR="00672DA3" w:rsidRDefault="00672DA3" w:rsidP="00672DA3">
      <w:pPr>
        <w:spacing w:after="0"/>
        <w:rPr>
          <w:rFonts w:ascii="Cambria" w:hAnsi="Cambria"/>
        </w:rPr>
      </w:pPr>
      <w:r w:rsidRPr="00BA30DF">
        <w:rPr>
          <w:rFonts w:ascii="Cambria" w:hAnsi="Cambria"/>
          <w:b/>
        </w:rPr>
        <w:t xml:space="preserve">Figure </w:t>
      </w:r>
      <w:r>
        <w:rPr>
          <w:rFonts w:ascii="Cambria" w:hAnsi="Cambria"/>
          <w:b/>
        </w:rPr>
        <w:t>3</w:t>
      </w:r>
      <w:r w:rsidRPr="00BA30DF">
        <w:rPr>
          <w:rFonts w:ascii="Cambria" w:hAnsi="Cambria"/>
          <w:b/>
        </w:rPr>
        <w:t xml:space="preserve">. </w:t>
      </w:r>
      <w:r>
        <w:rPr>
          <w:rFonts w:ascii="Cambria" w:hAnsi="Cambria"/>
        </w:rPr>
        <w:t xml:space="preserve">July Weekly Average Gasoline Consumption vs. Real Retail Gasoline Price: </w:t>
      </w:r>
    </w:p>
    <w:p w14:paraId="582D32FD" w14:textId="78D32DC9" w:rsidR="00672DA3" w:rsidRDefault="00672DA3" w:rsidP="00672DA3">
      <w:pPr>
        <w:rPr>
          <w:rFonts w:ascii="Cambria" w:hAnsi="Cambria"/>
        </w:rPr>
      </w:pPr>
      <w:r>
        <w:rPr>
          <w:rFonts w:ascii="Cambria" w:hAnsi="Cambria"/>
        </w:rPr>
        <w:t>2009 through 2021</w:t>
      </w:r>
    </w:p>
    <w:p w14:paraId="17C3D832" w14:textId="131DBC83" w:rsidR="00672DA3" w:rsidRDefault="004037BC" w:rsidP="00A2074D">
      <w:pPr>
        <w:rPr>
          <w:rFonts w:ascii="Cambria" w:hAnsi="Cambria"/>
        </w:rPr>
      </w:pPr>
      <w:r>
        <w:rPr>
          <w:rFonts w:ascii="Cambria" w:hAnsi="Cambria"/>
        </w:rPr>
        <w:t>While summer gasoline demand seems to have recovered to pre-pandemic levels, the same can’t be said for supply.  Weekly net production of finished motor gasoline is presented in Figure 4.</w:t>
      </w:r>
    </w:p>
    <w:p w14:paraId="76D5A2DC" w14:textId="7B8DED04" w:rsidR="004037BC" w:rsidRDefault="004037BC" w:rsidP="00A2074D">
      <w:pPr>
        <w:rPr>
          <w:rFonts w:ascii="Cambria" w:hAnsi="Cambria"/>
        </w:rPr>
      </w:pPr>
      <w:r>
        <w:rPr>
          <w:noProof/>
        </w:rPr>
        <w:drawing>
          <wp:inline distT="0" distB="0" distL="0" distR="0" wp14:anchorId="0ECAB5A8" wp14:editId="5748D053">
            <wp:extent cx="5353050" cy="3048000"/>
            <wp:effectExtent l="0" t="0" r="0" b="0"/>
            <wp:docPr id="6" name="Chart 6">
              <a:extLst xmlns:a="http://schemas.openxmlformats.org/drawingml/2006/main">
                <a:ext uri="{FF2B5EF4-FFF2-40B4-BE49-F238E27FC236}">
                  <a16:creationId xmlns:a16="http://schemas.microsoft.com/office/drawing/2014/main" id="{E1B67F0C-BEFA-41EB-A360-3D622F613E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7182986" w14:textId="77777777" w:rsidR="004037BC" w:rsidRPr="00BA30DF" w:rsidRDefault="004037BC" w:rsidP="004037BC">
      <w:pPr>
        <w:rPr>
          <w:rFonts w:ascii="Cambria" w:hAnsi="Cambria"/>
          <w:sz w:val="18"/>
          <w:szCs w:val="18"/>
        </w:rPr>
      </w:pPr>
      <w:r w:rsidRPr="00BA30DF">
        <w:rPr>
          <w:rFonts w:ascii="Cambria" w:hAnsi="Cambria"/>
          <w:sz w:val="18"/>
          <w:szCs w:val="18"/>
        </w:rPr>
        <w:t>Data Source: U.S. Department of Commerce, Energy Information Administration</w:t>
      </w:r>
    </w:p>
    <w:p w14:paraId="44FDBE77" w14:textId="570BF0AB" w:rsidR="004037BC" w:rsidRDefault="004037BC" w:rsidP="004037BC">
      <w:pPr>
        <w:spacing w:after="0"/>
        <w:rPr>
          <w:rFonts w:ascii="Cambria" w:hAnsi="Cambria"/>
        </w:rPr>
      </w:pPr>
      <w:r w:rsidRPr="00BA30DF">
        <w:rPr>
          <w:rFonts w:ascii="Cambria" w:hAnsi="Cambria"/>
          <w:b/>
        </w:rPr>
        <w:t xml:space="preserve">Figure </w:t>
      </w:r>
      <w:r w:rsidR="008B59AC">
        <w:rPr>
          <w:rFonts w:ascii="Cambria" w:hAnsi="Cambria"/>
          <w:b/>
        </w:rPr>
        <w:t>4</w:t>
      </w:r>
      <w:r w:rsidRPr="00BA30DF">
        <w:rPr>
          <w:rFonts w:ascii="Cambria" w:hAnsi="Cambria"/>
          <w:b/>
        </w:rPr>
        <w:t xml:space="preserve">. </w:t>
      </w:r>
      <w:r>
        <w:rPr>
          <w:rFonts w:ascii="Cambria" w:hAnsi="Cambria"/>
        </w:rPr>
        <w:t xml:space="preserve">Weekly U.S. </w:t>
      </w:r>
      <w:r w:rsidR="008B59AC">
        <w:rPr>
          <w:rFonts w:ascii="Cambria" w:hAnsi="Cambria"/>
        </w:rPr>
        <w:t>Refiner/Blender Adjusted Net Production of</w:t>
      </w:r>
      <w:r>
        <w:rPr>
          <w:rFonts w:ascii="Cambria" w:hAnsi="Cambria"/>
        </w:rPr>
        <w:t xml:space="preserve"> Finished Motor Gasoline: 2018 through 2021</w:t>
      </w:r>
    </w:p>
    <w:p w14:paraId="39863BE3" w14:textId="67C7EF29" w:rsidR="008B59AC" w:rsidRDefault="008B59AC" w:rsidP="004037BC">
      <w:pPr>
        <w:spacing w:after="0"/>
        <w:rPr>
          <w:rFonts w:ascii="Cambria" w:hAnsi="Cambria"/>
        </w:rPr>
      </w:pPr>
      <w:r>
        <w:rPr>
          <w:rFonts w:ascii="Cambria" w:hAnsi="Cambria"/>
        </w:rPr>
        <w:lastRenderedPageBreak/>
        <w:t>Weekly production of gasoline has made a strong comeback in 2021, but for the most part, it has continued to lag</w:t>
      </w:r>
      <w:r w:rsidR="006671AC">
        <w:rPr>
          <w:rFonts w:ascii="Cambria" w:hAnsi="Cambria"/>
        </w:rPr>
        <w:t xml:space="preserve"> compared to </w:t>
      </w:r>
      <w:r>
        <w:rPr>
          <w:rFonts w:ascii="Cambria" w:hAnsi="Cambria"/>
        </w:rPr>
        <w:t>pre-pandemic production levels.  With demand recently out-stripping pre-pandemic levels and supply not quite matching that pace, the difference should show up in changes in gasoline stocks; and that is, in fact, the case.  Figure 5 reports weekly ending stocks of gasoline for the past four years.</w:t>
      </w:r>
    </w:p>
    <w:p w14:paraId="35FE5DED" w14:textId="3F6E1EF1" w:rsidR="008B59AC" w:rsidRDefault="008B59AC" w:rsidP="004037BC">
      <w:pPr>
        <w:spacing w:after="0"/>
        <w:rPr>
          <w:rFonts w:ascii="Cambria" w:hAnsi="Cambria"/>
        </w:rPr>
      </w:pPr>
    </w:p>
    <w:p w14:paraId="7EA5D5F8" w14:textId="3FF0281A" w:rsidR="008B59AC" w:rsidRDefault="008B59AC" w:rsidP="004037BC">
      <w:pPr>
        <w:spacing w:after="0"/>
        <w:rPr>
          <w:rFonts w:ascii="Cambria" w:hAnsi="Cambria"/>
        </w:rPr>
      </w:pPr>
      <w:r>
        <w:rPr>
          <w:noProof/>
        </w:rPr>
        <w:drawing>
          <wp:inline distT="0" distB="0" distL="0" distR="0" wp14:anchorId="7B3F52D2" wp14:editId="13E87A81">
            <wp:extent cx="5267325" cy="2867025"/>
            <wp:effectExtent l="0" t="0" r="0" b="0"/>
            <wp:docPr id="7" name="Chart 7">
              <a:extLst xmlns:a="http://schemas.openxmlformats.org/drawingml/2006/main">
                <a:ext uri="{FF2B5EF4-FFF2-40B4-BE49-F238E27FC236}">
                  <a16:creationId xmlns:a16="http://schemas.microsoft.com/office/drawing/2014/main" id="{71F76E72-794C-4C00-ACE7-EAC04DA7DE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A83E653" w14:textId="77777777" w:rsidR="008B59AC" w:rsidRPr="00BA30DF" w:rsidRDefault="008B59AC" w:rsidP="008B59AC">
      <w:pPr>
        <w:rPr>
          <w:rFonts w:ascii="Cambria" w:hAnsi="Cambria"/>
          <w:sz w:val="18"/>
          <w:szCs w:val="18"/>
        </w:rPr>
      </w:pPr>
      <w:r w:rsidRPr="00BA30DF">
        <w:rPr>
          <w:rFonts w:ascii="Cambria" w:hAnsi="Cambria"/>
          <w:sz w:val="18"/>
          <w:szCs w:val="18"/>
        </w:rPr>
        <w:t>Data Source: U.S. Department of Commerce, Energy Information Administration</w:t>
      </w:r>
    </w:p>
    <w:p w14:paraId="3BE51761" w14:textId="04A9FA40" w:rsidR="008B59AC" w:rsidRDefault="008B59AC" w:rsidP="008B59AC">
      <w:pPr>
        <w:spacing w:after="0"/>
        <w:rPr>
          <w:rFonts w:ascii="Cambria" w:hAnsi="Cambria"/>
        </w:rPr>
      </w:pPr>
      <w:r w:rsidRPr="00BA30DF">
        <w:rPr>
          <w:rFonts w:ascii="Cambria" w:hAnsi="Cambria"/>
          <w:b/>
        </w:rPr>
        <w:t xml:space="preserve">Figure </w:t>
      </w:r>
      <w:r>
        <w:rPr>
          <w:rFonts w:ascii="Cambria" w:hAnsi="Cambria"/>
          <w:b/>
        </w:rPr>
        <w:t>5</w:t>
      </w:r>
      <w:r w:rsidRPr="00BA30DF">
        <w:rPr>
          <w:rFonts w:ascii="Cambria" w:hAnsi="Cambria"/>
          <w:b/>
        </w:rPr>
        <w:t xml:space="preserve">. </w:t>
      </w:r>
      <w:r>
        <w:rPr>
          <w:rFonts w:ascii="Cambria" w:hAnsi="Cambria"/>
        </w:rPr>
        <w:t>Weekly U.S. Ending Stocks of Finished Motor Gasoline: 2018 through 2021</w:t>
      </w:r>
    </w:p>
    <w:p w14:paraId="533BFD38" w14:textId="77777777" w:rsidR="008B59AC" w:rsidRDefault="008B59AC" w:rsidP="004037BC">
      <w:pPr>
        <w:spacing w:after="0"/>
        <w:rPr>
          <w:rFonts w:ascii="Cambria" w:hAnsi="Cambria"/>
        </w:rPr>
      </w:pPr>
    </w:p>
    <w:p w14:paraId="2F1BC9A0" w14:textId="5390DEFE" w:rsidR="004037BC" w:rsidRDefault="008B59AC" w:rsidP="004037BC">
      <w:pPr>
        <w:spacing w:after="0"/>
        <w:rPr>
          <w:rFonts w:ascii="Cambria" w:hAnsi="Cambria"/>
        </w:rPr>
      </w:pPr>
      <w:r>
        <w:rPr>
          <w:rFonts w:ascii="Cambria" w:hAnsi="Cambria"/>
        </w:rPr>
        <w:t xml:space="preserve">Stocks were on the high side of recent averages in 2020 but have fallen quickly.  Gasoline ending stocks for the week ending July 16 (most recent data) were the lowest in EIA data going back to 1992.  </w:t>
      </w:r>
    </w:p>
    <w:p w14:paraId="6AA4BA9E" w14:textId="4C9837E2" w:rsidR="008B59AC" w:rsidRDefault="008B59AC" w:rsidP="004037BC">
      <w:pPr>
        <w:spacing w:after="0"/>
        <w:rPr>
          <w:rFonts w:ascii="Cambria" w:hAnsi="Cambria"/>
        </w:rPr>
      </w:pPr>
    </w:p>
    <w:p w14:paraId="06A4B5F1" w14:textId="2F9A9825" w:rsidR="008B59AC" w:rsidRDefault="008B59AC" w:rsidP="004037BC">
      <w:pPr>
        <w:spacing w:after="0"/>
        <w:rPr>
          <w:rFonts w:ascii="Cambria" w:hAnsi="Cambria"/>
        </w:rPr>
      </w:pPr>
      <w:r>
        <w:rPr>
          <w:rFonts w:ascii="Cambria" w:hAnsi="Cambria"/>
        </w:rPr>
        <w:t xml:space="preserve">Looking ahead, fundamental support for gasoline prices should begin to soften, at least a little.  Demand should already be weakening seasonally, a tendency that should accelerate as we move from summer into fall. </w:t>
      </w:r>
      <w:r w:rsidR="00DC1E7A">
        <w:rPr>
          <w:rFonts w:ascii="Cambria" w:hAnsi="Cambria"/>
        </w:rPr>
        <w:t xml:space="preserve">Unfortunately, we may also see demand soften even more if the current increase in COVID cases leads to a return of restrictions and/or widespread risk avoidance behavior by consumers.  Gasoline </w:t>
      </w:r>
      <w:r>
        <w:rPr>
          <w:rFonts w:ascii="Cambria" w:hAnsi="Cambria"/>
        </w:rPr>
        <w:t>production</w:t>
      </w:r>
      <w:r w:rsidR="00DC1E7A">
        <w:rPr>
          <w:rFonts w:ascii="Cambria" w:hAnsi="Cambria"/>
        </w:rPr>
        <w:t xml:space="preserve"> should have room to expand.  In mid-July, refineries were making use of about 91% of operable capacity.  Capacity utilization can hit 97% or better in late-Summer/early-Fall.  That would likely be sufficient to relieve current price pressure, though prices are unlikely to fall too much until gasoline stocks recover to something like 2018/2019 levels.  </w:t>
      </w:r>
    </w:p>
    <w:p w14:paraId="65AA3272" w14:textId="77777777" w:rsidR="004037BC" w:rsidRDefault="004037BC" w:rsidP="004037BC">
      <w:pPr>
        <w:spacing w:after="0"/>
        <w:rPr>
          <w:rFonts w:ascii="Cambria" w:hAnsi="Cambria"/>
        </w:rPr>
      </w:pPr>
    </w:p>
    <w:p w14:paraId="32C27DC0" w14:textId="77777777" w:rsidR="004037BC" w:rsidRDefault="004037BC" w:rsidP="00A2074D">
      <w:pPr>
        <w:rPr>
          <w:rFonts w:ascii="Cambria" w:hAnsi="Cambria"/>
        </w:rPr>
      </w:pPr>
    </w:p>
    <w:p w14:paraId="66B20FF1" w14:textId="2023415C" w:rsidR="005E0F35" w:rsidRDefault="005E0F35" w:rsidP="00A2074D">
      <w:pPr>
        <w:rPr>
          <w:rFonts w:ascii="Cambria" w:hAnsi="Cambria"/>
        </w:rPr>
      </w:pPr>
    </w:p>
    <w:p w14:paraId="59557D36" w14:textId="69A45DFD" w:rsidR="00EC6674" w:rsidRPr="001B278F" w:rsidRDefault="00EC6674" w:rsidP="00A2074D">
      <w:pPr>
        <w:rPr>
          <w:rFonts w:ascii="Cambria" w:hAnsi="Cambria"/>
        </w:rPr>
      </w:pPr>
    </w:p>
    <w:sectPr w:rsidR="00EC6674" w:rsidRPr="001B27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4762C9"/>
    <w:multiLevelType w:val="hybridMultilevel"/>
    <w:tmpl w:val="61300B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A02890"/>
    <w:multiLevelType w:val="hybridMultilevel"/>
    <w:tmpl w:val="250A4A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3A12E1"/>
    <w:multiLevelType w:val="hybridMultilevel"/>
    <w:tmpl w:val="36F00F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C19"/>
    <w:rsid w:val="00016281"/>
    <w:rsid w:val="00062BC6"/>
    <w:rsid w:val="0008751F"/>
    <w:rsid w:val="000938D7"/>
    <w:rsid w:val="000A73DD"/>
    <w:rsid w:val="000C0A91"/>
    <w:rsid w:val="000F26EF"/>
    <w:rsid w:val="000F7E8E"/>
    <w:rsid w:val="0010790D"/>
    <w:rsid w:val="00111B73"/>
    <w:rsid w:val="0016274A"/>
    <w:rsid w:val="00165B26"/>
    <w:rsid w:val="001762D9"/>
    <w:rsid w:val="00187436"/>
    <w:rsid w:val="00194934"/>
    <w:rsid w:val="001B0892"/>
    <w:rsid w:val="001B278F"/>
    <w:rsid w:val="001D71B7"/>
    <w:rsid w:val="001D7BE1"/>
    <w:rsid w:val="001E1575"/>
    <w:rsid w:val="00240008"/>
    <w:rsid w:val="00244041"/>
    <w:rsid w:val="00253CD0"/>
    <w:rsid w:val="002711FA"/>
    <w:rsid w:val="00275746"/>
    <w:rsid w:val="0027667F"/>
    <w:rsid w:val="00280B58"/>
    <w:rsid w:val="0028267D"/>
    <w:rsid w:val="00293A06"/>
    <w:rsid w:val="002A43F1"/>
    <w:rsid w:val="002A6937"/>
    <w:rsid w:val="002B70D0"/>
    <w:rsid w:val="002B7FEC"/>
    <w:rsid w:val="002C36A3"/>
    <w:rsid w:val="002F3C19"/>
    <w:rsid w:val="002F57A8"/>
    <w:rsid w:val="00307E8B"/>
    <w:rsid w:val="00322E79"/>
    <w:rsid w:val="00323F35"/>
    <w:rsid w:val="00333AF4"/>
    <w:rsid w:val="00333BAE"/>
    <w:rsid w:val="00362BA5"/>
    <w:rsid w:val="003A0A09"/>
    <w:rsid w:val="003C2808"/>
    <w:rsid w:val="003C7676"/>
    <w:rsid w:val="00401807"/>
    <w:rsid w:val="004037BC"/>
    <w:rsid w:val="004413A3"/>
    <w:rsid w:val="00456DC6"/>
    <w:rsid w:val="00476712"/>
    <w:rsid w:val="00480448"/>
    <w:rsid w:val="00480567"/>
    <w:rsid w:val="00481294"/>
    <w:rsid w:val="00486133"/>
    <w:rsid w:val="004A3E20"/>
    <w:rsid w:val="004B57FA"/>
    <w:rsid w:val="004B5A32"/>
    <w:rsid w:val="004C0210"/>
    <w:rsid w:val="004C3757"/>
    <w:rsid w:val="004C6C8D"/>
    <w:rsid w:val="004C721C"/>
    <w:rsid w:val="004E3521"/>
    <w:rsid w:val="004E5BA7"/>
    <w:rsid w:val="004F2F65"/>
    <w:rsid w:val="004F6C45"/>
    <w:rsid w:val="0051289D"/>
    <w:rsid w:val="00516C3E"/>
    <w:rsid w:val="00536775"/>
    <w:rsid w:val="0054692A"/>
    <w:rsid w:val="005871CD"/>
    <w:rsid w:val="005A3638"/>
    <w:rsid w:val="005B0E04"/>
    <w:rsid w:val="005D17DA"/>
    <w:rsid w:val="005D38AC"/>
    <w:rsid w:val="005E0F35"/>
    <w:rsid w:val="006041CE"/>
    <w:rsid w:val="00612661"/>
    <w:rsid w:val="006671AC"/>
    <w:rsid w:val="00671A66"/>
    <w:rsid w:val="00672DA3"/>
    <w:rsid w:val="00673DA9"/>
    <w:rsid w:val="006B4454"/>
    <w:rsid w:val="006D7F3A"/>
    <w:rsid w:val="00733D1C"/>
    <w:rsid w:val="00777F8D"/>
    <w:rsid w:val="00791760"/>
    <w:rsid w:val="007C7A27"/>
    <w:rsid w:val="007D1212"/>
    <w:rsid w:val="007D1E45"/>
    <w:rsid w:val="007D61DF"/>
    <w:rsid w:val="007F5A57"/>
    <w:rsid w:val="00802549"/>
    <w:rsid w:val="00820D8E"/>
    <w:rsid w:val="008330E1"/>
    <w:rsid w:val="008335C6"/>
    <w:rsid w:val="00840352"/>
    <w:rsid w:val="00865D82"/>
    <w:rsid w:val="008A0499"/>
    <w:rsid w:val="008A19BD"/>
    <w:rsid w:val="008A5679"/>
    <w:rsid w:val="008A6467"/>
    <w:rsid w:val="008B30C4"/>
    <w:rsid w:val="008B59AC"/>
    <w:rsid w:val="008D5C5D"/>
    <w:rsid w:val="009539D3"/>
    <w:rsid w:val="00957B23"/>
    <w:rsid w:val="009A1BA5"/>
    <w:rsid w:val="009D0CB6"/>
    <w:rsid w:val="009F02F5"/>
    <w:rsid w:val="00A127C9"/>
    <w:rsid w:val="00A17B9A"/>
    <w:rsid w:val="00A2074D"/>
    <w:rsid w:val="00A31710"/>
    <w:rsid w:val="00A5247D"/>
    <w:rsid w:val="00AA597D"/>
    <w:rsid w:val="00AD0836"/>
    <w:rsid w:val="00AD3E25"/>
    <w:rsid w:val="00AD4FA6"/>
    <w:rsid w:val="00B153C2"/>
    <w:rsid w:val="00B33838"/>
    <w:rsid w:val="00B44DE0"/>
    <w:rsid w:val="00B65108"/>
    <w:rsid w:val="00BA30DF"/>
    <w:rsid w:val="00BC6295"/>
    <w:rsid w:val="00BE2609"/>
    <w:rsid w:val="00C07A0A"/>
    <w:rsid w:val="00C71B1A"/>
    <w:rsid w:val="00C8070B"/>
    <w:rsid w:val="00C82E23"/>
    <w:rsid w:val="00C83593"/>
    <w:rsid w:val="00CF65DE"/>
    <w:rsid w:val="00D060FE"/>
    <w:rsid w:val="00D172D9"/>
    <w:rsid w:val="00D272E6"/>
    <w:rsid w:val="00D50A55"/>
    <w:rsid w:val="00D95B3D"/>
    <w:rsid w:val="00DC1E7A"/>
    <w:rsid w:val="00DE3101"/>
    <w:rsid w:val="00DE35EF"/>
    <w:rsid w:val="00DE4406"/>
    <w:rsid w:val="00DF0107"/>
    <w:rsid w:val="00E05DAC"/>
    <w:rsid w:val="00E26224"/>
    <w:rsid w:val="00E450BE"/>
    <w:rsid w:val="00E63E73"/>
    <w:rsid w:val="00E66924"/>
    <w:rsid w:val="00E7035A"/>
    <w:rsid w:val="00E8763F"/>
    <w:rsid w:val="00EC6674"/>
    <w:rsid w:val="00ED6032"/>
    <w:rsid w:val="00F101D4"/>
    <w:rsid w:val="00F21834"/>
    <w:rsid w:val="00F37234"/>
    <w:rsid w:val="00F40345"/>
    <w:rsid w:val="00F66CE1"/>
    <w:rsid w:val="00F75582"/>
    <w:rsid w:val="00FB32FF"/>
    <w:rsid w:val="00FF0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B710C"/>
  <w15:chartTrackingRefBased/>
  <w15:docId w15:val="{291F7F8C-2ED3-4956-999F-010B7FAF5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C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0499"/>
    <w:rPr>
      <w:color w:val="0563C1" w:themeColor="hyperlink"/>
      <w:u w:val="single"/>
    </w:rPr>
  </w:style>
  <w:style w:type="character" w:styleId="UnresolvedMention">
    <w:name w:val="Unresolved Mention"/>
    <w:basedOn w:val="DefaultParagraphFont"/>
    <w:uiPriority w:val="99"/>
    <w:semiHidden/>
    <w:unhideWhenUsed/>
    <w:rsid w:val="005A3638"/>
    <w:rPr>
      <w:color w:val="605E5C"/>
      <w:shd w:val="clear" w:color="auto" w:fill="E1DFDD"/>
    </w:rPr>
  </w:style>
  <w:style w:type="character" w:styleId="FollowedHyperlink">
    <w:name w:val="FollowedHyperlink"/>
    <w:basedOn w:val="DefaultParagraphFont"/>
    <w:uiPriority w:val="99"/>
    <w:semiHidden/>
    <w:unhideWhenUsed/>
    <w:rsid w:val="00481294"/>
    <w:rPr>
      <w:color w:val="954F72" w:themeColor="followedHyperlink"/>
      <w:u w:val="single"/>
    </w:rPr>
  </w:style>
  <w:style w:type="paragraph" w:styleId="ListParagraph">
    <w:name w:val="List Paragraph"/>
    <w:basedOn w:val="Normal"/>
    <w:uiPriority w:val="34"/>
    <w:qFormat/>
    <w:rsid w:val="00F66CE1"/>
    <w:pPr>
      <w:ind w:left="720"/>
      <w:contextualSpacing/>
    </w:pPr>
  </w:style>
  <w:style w:type="character" w:styleId="CommentReference">
    <w:name w:val="annotation reference"/>
    <w:basedOn w:val="DefaultParagraphFont"/>
    <w:uiPriority w:val="99"/>
    <w:semiHidden/>
    <w:unhideWhenUsed/>
    <w:rsid w:val="001762D9"/>
    <w:rPr>
      <w:sz w:val="16"/>
      <w:szCs w:val="16"/>
    </w:rPr>
  </w:style>
  <w:style w:type="paragraph" w:styleId="CommentText">
    <w:name w:val="annotation text"/>
    <w:basedOn w:val="Normal"/>
    <w:link w:val="CommentTextChar"/>
    <w:uiPriority w:val="99"/>
    <w:semiHidden/>
    <w:unhideWhenUsed/>
    <w:rsid w:val="001762D9"/>
    <w:pPr>
      <w:spacing w:line="240" w:lineRule="auto"/>
    </w:pPr>
    <w:rPr>
      <w:sz w:val="20"/>
      <w:szCs w:val="20"/>
    </w:rPr>
  </w:style>
  <w:style w:type="character" w:customStyle="1" w:styleId="CommentTextChar">
    <w:name w:val="Comment Text Char"/>
    <w:basedOn w:val="DefaultParagraphFont"/>
    <w:link w:val="CommentText"/>
    <w:uiPriority w:val="99"/>
    <w:semiHidden/>
    <w:rsid w:val="001762D9"/>
    <w:rPr>
      <w:sz w:val="20"/>
      <w:szCs w:val="20"/>
    </w:rPr>
  </w:style>
  <w:style w:type="paragraph" w:styleId="CommentSubject">
    <w:name w:val="annotation subject"/>
    <w:basedOn w:val="CommentText"/>
    <w:next w:val="CommentText"/>
    <w:link w:val="CommentSubjectChar"/>
    <w:uiPriority w:val="99"/>
    <w:semiHidden/>
    <w:unhideWhenUsed/>
    <w:rsid w:val="001762D9"/>
    <w:rPr>
      <w:b/>
      <w:bCs/>
    </w:rPr>
  </w:style>
  <w:style w:type="character" w:customStyle="1" w:styleId="CommentSubjectChar">
    <w:name w:val="Comment Subject Char"/>
    <w:basedOn w:val="CommentTextChar"/>
    <w:link w:val="CommentSubject"/>
    <w:uiPriority w:val="99"/>
    <w:semiHidden/>
    <w:rsid w:val="001762D9"/>
    <w:rPr>
      <w:b/>
      <w:bCs/>
      <w:sz w:val="20"/>
      <w:szCs w:val="20"/>
    </w:rPr>
  </w:style>
  <w:style w:type="paragraph" w:styleId="BalloonText">
    <w:name w:val="Balloon Text"/>
    <w:basedOn w:val="Normal"/>
    <w:link w:val="BalloonTextChar"/>
    <w:uiPriority w:val="99"/>
    <w:semiHidden/>
    <w:unhideWhenUsed/>
    <w:rsid w:val="001762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2D9"/>
    <w:rPr>
      <w:rFonts w:ascii="Segoe UI" w:hAnsi="Segoe UI" w:cs="Segoe UI"/>
      <w:sz w:val="18"/>
      <w:szCs w:val="18"/>
    </w:rPr>
  </w:style>
  <w:style w:type="paragraph" w:customStyle="1" w:styleId="xmsonormal">
    <w:name w:val="x_msonormal"/>
    <w:basedOn w:val="Normal"/>
    <w:rsid w:val="00820D8E"/>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3" Type="http://schemas.openxmlformats.org/officeDocument/2006/relationships/settings" Target="settings.xml"/><Relationship Id="rId7" Type="http://schemas.openxmlformats.org/officeDocument/2006/relationships/chart" Target="charts/chart2.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jda042\Documents\Market%20News\Gasoline%20market%20data.xls"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USGasPrice!$A$930:$A$1481</c:f>
              <c:numCache>
                <c:formatCode>mmm\ dd\,\ yyyy</c:formatCode>
                <c:ptCount val="552"/>
                <c:pt idx="0">
                  <c:v>40546</c:v>
                </c:pt>
                <c:pt idx="1">
                  <c:v>40553</c:v>
                </c:pt>
                <c:pt idx="2">
                  <c:v>40560</c:v>
                </c:pt>
                <c:pt idx="3">
                  <c:v>40567</c:v>
                </c:pt>
                <c:pt idx="4">
                  <c:v>40574</c:v>
                </c:pt>
                <c:pt idx="5">
                  <c:v>40581</c:v>
                </c:pt>
                <c:pt idx="6">
                  <c:v>40588</c:v>
                </c:pt>
                <c:pt idx="7">
                  <c:v>40595</c:v>
                </c:pt>
                <c:pt idx="8">
                  <c:v>40602</c:v>
                </c:pt>
                <c:pt idx="9">
                  <c:v>40609</c:v>
                </c:pt>
                <c:pt idx="10">
                  <c:v>40616</c:v>
                </c:pt>
                <c:pt idx="11">
                  <c:v>40623</c:v>
                </c:pt>
                <c:pt idx="12">
                  <c:v>40630</c:v>
                </c:pt>
                <c:pt idx="13">
                  <c:v>40637</c:v>
                </c:pt>
                <c:pt idx="14">
                  <c:v>40644</c:v>
                </c:pt>
                <c:pt idx="15">
                  <c:v>40651</c:v>
                </c:pt>
                <c:pt idx="16">
                  <c:v>40658</c:v>
                </c:pt>
                <c:pt idx="17">
                  <c:v>40665</c:v>
                </c:pt>
                <c:pt idx="18">
                  <c:v>40672</c:v>
                </c:pt>
                <c:pt idx="19">
                  <c:v>40679</c:v>
                </c:pt>
                <c:pt idx="20">
                  <c:v>40686</c:v>
                </c:pt>
                <c:pt idx="21">
                  <c:v>40693</c:v>
                </c:pt>
                <c:pt idx="22">
                  <c:v>40700</c:v>
                </c:pt>
                <c:pt idx="23">
                  <c:v>40707</c:v>
                </c:pt>
                <c:pt idx="24">
                  <c:v>40714</c:v>
                </c:pt>
                <c:pt idx="25">
                  <c:v>40721</c:v>
                </c:pt>
                <c:pt idx="26">
                  <c:v>40728</c:v>
                </c:pt>
                <c:pt idx="27">
                  <c:v>40735</c:v>
                </c:pt>
                <c:pt idx="28">
                  <c:v>40742</c:v>
                </c:pt>
                <c:pt idx="29">
                  <c:v>40749</c:v>
                </c:pt>
                <c:pt idx="30">
                  <c:v>40756</c:v>
                </c:pt>
                <c:pt idx="31">
                  <c:v>40763</c:v>
                </c:pt>
                <c:pt idx="32">
                  <c:v>40770</c:v>
                </c:pt>
                <c:pt idx="33">
                  <c:v>40777</c:v>
                </c:pt>
                <c:pt idx="34">
                  <c:v>40784</c:v>
                </c:pt>
                <c:pt idx="35">
                  <c:v>40791</c:v>
                </c:pt>
                <c:pt idx="36">
                  <c:v>40798</c:v>
                </c:pt>
                <c:pt idx="37">
                  <c:v>40805</c:v>
                </c:pt>
                <c:pt idx="38">
                  <c:v>40812</c:v>
                </c:pt>
                <c:pt idx="39">
                  <c:v>40819</c:v>
                </c:pt>
                <c:pt idx="40">
                  <c:v>40826</c:v>
                </c:pt>
                <c:pt idx="41">
                  <c:v>40833</c:v>
                </c:pt>
                <c:pt idx="42">
                  <c:v>40840</c:v>
                </c:pt>
                <c:pt idx="43">
                  <c:v>40847</c:v>
                </c:pt>
                <c:pt idx="44">
                  <c:v>40854</c:v>
                </c:pt>
                <c:pt idx="45">
                  <c:v>40861</c:v>
                </c:pt>
                <c:pt idx="46">
                  <c:v>40868</c:v>
                </c:pt>
                <c:pt idx="47">
                  <c:v>40875</c:v>
                </c:pt>
                <c:pt idx="48">
                  <c:v>40882</c:v>
                </c:pt>
                <c:pt idx="49">
                  <c:v>40889</c:v>
                </c:pt>
                <c:pt idx="50">
                  <c:v>40896</c:v>
                </c:pt>
                <c:pt idx="51">
                  <c:v>40903</c:v>
                </c:pt>
                <c:pt idx="52">
                  <c:v>40910</c:v>
                </c:pt>
                <c:pt idx="53">
                  <c:v>40917</c:v>
                </c:pt>
                <c:pt idx="54">
                  <c:v>40924</c:v>
                </c:pt>
                <c:pt idx="55">
                  <c:v>40931</c:v>
                </c:pt>
                <c:pt idx="56">
                  <c:v>40938</c:v>
                </c:pt>
                <c:pt idx="57">
                  <c:v>40945</c:v>
                </c:pt>
                <c:pt idx="58">
                  <c:v>40952</c:v>
                </c:pt>
                <c:pt idx="59">
                  <c:v>40959</c:v>
                </c:pt>
                <c:pt idx="60">
                  <c:v>40966</c:v>
                </c:pt>
                <c:pt idx="61">
                  <c:v>40973</c:v>
                </c:pt>
                <c:pt idx="62">
                  <c:v>40980</c:v>
                </c:pt>
                <c:pt idx="63">
                  <c:v>40987</c:v>
                </c:pt>
                <c:pt idx="64">
                  <c:v>40994</c:v>
                </c:pt>
                <c:pt idx="65">
                  <c:v>41001</c:v>
                </c:pt>
                <c:pt idx="66">
                  <c:v>41008</c:v>
                </c:pt>
                <c:pt idx="67">
                  <c:v>41015</c:v>
                </c:pt>
                <c:pt idx="68">
                  <c:v>41022</c:v>
                </c:pt>
                <c:pt idx="69">
                  <c:v>41029</c:v>
                </c:pt>
                <c:pt idx="70">
                  <c:v>41036</c:v>
                </c:pt>
                <c:pt idx="71">
                  <c:v>41043</c:v>
                </c:pt>
                <c:pt idx="72">
                  <c:v>41050</c:v>
                </c:pt>
                <c:pt idx="73">
                  <c:v>41057</c:v>
                </c:pt>
                <c:pt idx="74">
                  <c:v>41064</c:v>
                </c:pt>
                <c:pt idx="75">
                  <c:v>41071</c:v>
                </c:pt>
                <c:pt idx="76">
                  <c:v>41078</c:v>
                </c:pt>
                <c:pt idx="77">
                  <c:v>41085</c:v>
                </c:pt>
                <c:pt idx="78">
                  <c:v>41092</c:v>
                </c:pt>
                <c:pt idx="79">
                  <c:v>41099</c:v>
                </c:pt>
                <c:pt idx="80">
                  <c:v>41106</c:v>
                </c:pt>
                <c:pt idx="81">
                  <c:v>41113</c:v>
                </c:pt>
                <c:pt idx="82">
                  <c:v>41120</c:v>
                </c:pt>
                <c:pt idx="83">
                  <c:v>41127</c:v>
                </c:pt>
                <c:pt idx="84">
                  <c:v>41134</c:v>
                </c:pt>
                <c:pt idx="85">
                  <c:v>41141</c:v>
                </c:pt>
                <c:pt idx="86">
                  <c:v>41148</c:v>
                </c:pt>
                <c:pt idx="87">
                  <c:v>41155</c:v>
                </c:pt>
                <c:pt idx="88">
                  <c:v>41162</c:v>
                </c:pt>
                <c:pt idx="89">
                  <c:v>41169</c:v>
                </c:pt>
                <c:pt idx="90">
                  <c:v>41176</c:v>
                </c:pt>
                <c:pt idx="91">
                  <c:v>41183</c:v>
                </c:pt>
                <c:pt idx="92">
                  <c:v>41190</c:v>
                </c:pt>
                <c:pt idx="93">
                  <c:v>41197</c:v>
                </c:pt>
                <c:pt idx="94">
                  <c:v>41204</c:v>
                </c:pt>
                <c:pt idx="95">
                  <c:v>41211</c:v>
                </c:pt>
                <c:pt idx="96">
                  <c:v>41218</c:v>
                </c:pt>
                <c:pt idx="97">
                  <c:v>41225</c:v>
                </c:pt>
                <c:pt idx="98">
                  <c:v>41232</c:v>
                </c:pt>
                <c:pt idx="99">
                  <c:v>41239</c:v>
                </c:pt>
                <c:pt idx="100">
                  <c:v>41246</c:v>
                </c:pt>
                <c:pt idx="101">
                  <c:v>41253</c:v>
                </c:pt>
                <c:pt idx="102">
                  <c:v>41260</c:v>
                </c:pt>
                <c:pt idx="103">
                  <c:v>41267</c:v>
                </c:pt>
                <c:pt idx="104">
                  <c:v>41274</c:v>
                </c:pt>
                <c:pt idx="105">
                  <c:v>41281</c:v>
                </c:pt>
                <c:pt idx="106">
                  <c:v>41288</c:v>
                </c:pt>
                <c:pt idx="107">
                  <c:v>41295</c:v>
                </c:pt>
                <c:pt idx="108">
                  <c:v>41302</c:v>
                </c:pt>
                <c:pt idx="109">
                  <c:v>41309</c:v>
                </c:pt>
                <c:pt idx="110">
                  <c:v>41316</c:v>
                </c:pt>
                <c:pt idx="111">
                  <c:v>41323</c:v>
                </c:pt>
                <c:pt idx="112">
                  <c:v>41330</c:v>
                </c:pt>
                <c:pt idx="113">
                  <c:v>41337</c:v>
                </c:pt>
                <c:pt idx="114">
                  <c:v>41344</c:v>
                </c:pt>
                <c:pt idx="115">
                  <c:v>41351</c:v>
                </c:pt>
                <c:pt idx="116">
                  <c:v>41358</c:v>
                </c:pt>
                <c:pt idx="117">
                  <c:v>41365</c:v>
                </c:pt>
                <c:pt idx="118">
                  <c:v>41372</c:v>
                </c:pt>
                <c:pt idx="119">
                  <c:v>41379</c:v>
                </c:pt>
                <c:pt idx="120">
                  <c:v>41386</c:v>
                </c:pt>
                <c:pt idx="121">
                  <c:v>41393</c:v>
                </c:pt>
                <c:pt idx="122">
                  <c:v>41400</c:v>
                </c:pt>
                <c:pt idx="123">
                  <c:v>41407</c:v>
                </c:pt>
                <c:pt idx="124">
                  <c:v>41414</c:v>
                </c:pt>
                <c:pt idx="125">
                  <c:v>41421</c:v>
                </c:pt>
                <c:pt idx="126">
                  <c:v>41428</c:v>
                </c:pt>
                <c:pt idx="127">
                  <c:v>41435</c:v>
                </c:pt>
                <c:pt idx="128">
                  <c:v>41442</c:v>
                </c:pt>
                <c:pt idx="129">
                  <c:v>41449</c:v>
                </c:pt>
                <c:pt idx="130">
                  <c:v>41456</c:v>
                </c:pt>
                <c:pt idx="131">
                  <c:v>41463</c:v>
                </c:pt>
                <c:pt idx="132">
                  <c:v>41470</c:v>
                </c:pt>
                <c:pt idx="133">
                  <c:v>41477</c:v>
                </c:pt>
                <c:pt idx="134">
                  <c:v>41484</c:v>
                </c:pt>
                <c:pt idx="135">
                  <c:v>41491</c:v>
                </c:pt>
                <c:pt idx="136">
                  <c:v>41498</c:v>
                </c:pt>
                <c:pt idx="137">
                  <c:v>41505</c:v>
                </c:pt>
                <c:pt idx="138">
                  <c:v>41512</c:v>
                </c:pt>
                <c:pt idx="139">
                  <c:v>41519</c:v>
                </c:pt>
                <c:pt idx="140">
                  <c:v>41526</c:v>
                </c:pt>
                <c:pt idx="141">
                  <c:v>41533</c:v>
                </c:pt>
                <c:pt idx="142">
                  <c:v>41540</c:v>
                </c:pt>
                <c:pt idx="143">
                  <c:v>41547</c:v>
                </c:pt>
                <c:pt idx="144">
                  <c:v>41554</c:v>
                </c:pt>
                <c:pt idx="145">
                  <c:v>41561</c:v>
                </c:pt>
                <c:pt idx="146">
                  <c:v>41568</c:v>
                </c:pt>
                <c:pt idx="147">
                  <c:v>41575</c:v>
                </c:pt>
                <c:pt idx="148">
                  <c:v>41582</c:v>
                </c:pt>
                <c:pt idx="149">
                  <c:v>41589</c:v>
                </c:pt>
                <c:pt idx="150">
                  <c:v>41596</c:v>
                </c:pt>
                <c:pt idx="151">
                  <c:v>41603</c:v>
                </c:pt>
                <c:pt idx="152">
                  <c:v>41610</c:v>
                </c:pt>
                <c:pt idx="153">
                  <c:v>41617</c:v>
                </c:pt>
                <c:pt idx="154">
                  <c:v>41624</c:v>
                </c:pt>
                <c:pt idx="155">
                  <c:v>41631</c:v>
                </c:pt>
                <c:pt idx="156">
                  <c:v>41638</c:v>
                </c:pt>
                <c:pt idx="157">
                  <c:v>41645</c:v>
                </c:pt>
                <c:pt idx="158">
                  <c:v>41652</c:v>
                </c:pt>
                <c:pt idx="159">
                  <c:v>41659</c:v>
                </c:pt>
                <c:pt idx="160">
                  <c:v>41666</c:v>
                </c:pt>
                <c:pt idx="161">
                  <c:v>41673</c:v>
                </c:pt>
                <c:pt idx="162">
                  <c:v>41680</c:v>
                </c:pt>
                <c:pt idx="163">
                  <c:v>41687</c:v>
                </c:pt>
                <c:pt idx="164">
                  <c:v>41694</c:v>
                </c:pt>
                <c:pt idx="165">
                  <c:v>41701</c:v>
                </c:pt>
                <c:pt idx="166">
                  <c:v>41708</c:v>
                </c:pt>
                <c:pt idx="167">
                  <c:v>41715</c:v>
                </c:pt>
                <c:pt idx="168">
                  <c:v>41722</c:v>
                </c:pt>
                <c:pt idx="169">
                  <c:v>41729</c:v>
                </c:pt>
                <c:pt idx="170">
                  <c:v>41736</c:v>
                </c:pt>
                <c:pt idx="171">
                  <c:v>41743</c:v>
                </c:pt>
                <c:pt idx="172">
                  <c:v>41750</c:v>
                </c:pt>
                <c:pt idx="173">
                  <c:v>41757</c:v>
                </c:pt>
                <c:pt idx="174">
                  <c:v>41764</c:v>
                </c:pt>
                <c:pt idx="175">
                  <c:v>41771</c:v>
                </c:pt>
                <c:pt idx="176">
                  <c:v>41778</c:v>
                </c:pt>
                <c:pt idx="177">
                  <c:v>41785</c:v>
                </c:pt>
                <c:pt idx="178">
                  <c:v>41792</c:v>
                </c:pt>
                <c:pt idx="179">
                  <c:v>41799</c:v>
                </c:pt>
                <c:pt idx="180">
                  <c:v>41806</c:v>
                </c:pt>
                <c:pt idx="181">
                  <c:v>41813</c:v>
                </c:pt>
                <c:pt idx="182">
                  <c:v>41820</c:v>
                </c:pt>
                <c:pt idx="183">
                  <c:v>41827</c:v>
                </c:pt>
                <c:pt idx="184">
                  <c:v>41834</c:v>
                </c:pt>
                <c:pt idx="185">
                  <c:v>41841</c:v>
                </c:pt>
                <c:pt idx="186">
                  <c:v>41848</c:v>
                </c:pt>
                <c:pt idx="187">
                  <c:v>41855</c:v>
                </c:pt>
                <c:pt idx="188">
                  <c:v>41862</c:v>
                </c:pt>
                <c:pt idx="189">
                  <c:v>41869</c:v>
                </c:pt>
                <c:pt idx="190">
                  <c:v>41876</c:v>
                </c:pt>
                <c:pt idx="191">
                  <c:v>41883</c:v>
                </c:pt>
                <c:pt idx="192">
                  <c:v>41890</c:v>
                </c:pt>
                <c:pt idx="193">
                  <c:v>41897</c:v>
                </c:pt>
                <c:pt idx="194">
                  <c:v>41904</c:v>
                </c:pt>
                <c:pt idx="195">
                  <c:v>41911</c:v>
                </c:pt>
                <c:pt idx="196">
                  <c:v>41918</c:v>
                </c:pt>
                <c:pt idx="197">
                  <c:v>41925</c:v>
                </c:pt>
                <c:pt idx="198">
                  <c:v>41932</c:v>
                </c:pt>
                <c:pt idx="199">
                  <c:v>41939</c:v>
                </c:pt>
                <c:pt idx="200">
                  <c:v>41946</c:v>
                </c:pt>
                <c:pt idx="201">
                  <c:v>41953</c:v>
                </c:pt>
                <c:pt idx="202">
                  <c:v>41960</c:v>
                </c:pt>
                <c:pt idx="203">
                  <c:v>41967</c:v>
                </c:pt>
                <c:pt idx="204">
                  <c:v>41974</c:v>
                </c:pt>
                <c:pt idx="205">
                  <c:v>41981</c:v>
                </c:pt>
                <c:pt idx="206">
                  <c:v>41988</c:v>
                </c:pt>
                <c:pt idx="207">
                  <c:v>41995</c:v>
                </c:pt>
                <c:pt idx="208">
                  <c:v>42002</c:v>
                </c:pt>
                <c:pt idx="209">
                  <c:v>42009</c:v>
                </c:pt>
                <c:pt idx="210">
                  <c:v>42016</c:v>
                </c:pt>
                <c:pt idx="211">
                  <c:v>42023</c:v>
                </c:pt>
                <c:pt idx="212">
                  <c:v>42030</c:v>
                </c:pt>
                <c:pt idx="213">
                  <c:v>42037</c:v>
                </c:pt>
                <c:pt idx="214">
                  <c:v>42044</c:v>
                </c:pt>
                <c:pt idx="215">
                  <c:v>42051</c:v>
                </c:pt>
                <c:pt idx="216">
                  <c:v>42058</c:v>
                </c:pt>
                <c:pt idx="217">
                  <c:v>42065</c:v>
                </c:pt>
                <c:pt idx="218">
                  <c:v>42072</c:v>
                </c:pt>
                <c:pt idx="219">
                  <c:v>42079</c:v>
                </c:pt>
                <c:pt idx="220">
                  <c:v>42086</c:v>
                </c:pt>
                <c:pt idx="221">
                  <c:v>42093</c:v>
                </c:pt>
                <c:pt idx="222">
                  <c:v>42100</c:v>
                </c:pt>
                <c:pt idx="223">
                  <c:v>42107</c:v>
                </c:pt>
                <c:pt idx="224">
                  <c:v>42114</c:v>
                </c:pt>
                <c:pt idx="225">
                  <c:v>42121</c:v>
                </c:pt>
                <c:pt idx="226">
                  <c:v>42128</c:v>
                </c:pt>
                <c:pt idx="227">
                  <c:v>42135</c:v>
                </c:pt>
                <c:pt idx="228">
                  <c:v>42142</c:v>
                </c:pt>
                <c:pt idx="229">
                  <c:v>42149</c:v>
                </c:pt>
                <c:pt idx="230">
                  <c:v>42156</c:v>
                </c:pt>
                <c:pt idx="231">
                  <c:v>42163</c:v>
                </c:pt>
                <c:pt idx="232">
                  <c:v>42170</c:v>
                </c:pt>
                <c:pt idx="233">
                  <c:v>42177</c:v>
                </c:pt>
                <c:pt idx="234">
                  <c:v>42184</c:v>
                </c:pt>
                <c:pt idx="235">
                  <c:v>42191</c:v>
                </c:pt>
                <c:pt idx="236">
                  <c:v>42198</c:v>
                </c:pt>
                <c:pt idx="237">
                  <c:v>42205</c:v>
                </c:pt>
                <c:pt idx="238">
                  <c:v>42212</c:v>
                </c:pt>
                <c:pt idx="239">
                  <c:v>42219</c:v>
                </c:pt>
                <c:pt idx="240">
                  <c:v>42226</c:v>
                </c:pt>
                <c:pt idx="241">
                  <c:v>42233</c:v>
                </c:pt>
                <c:pt idx="242">
                  <c:v>42240</c:v>
                </c:pt>
                <c:pt idx="243">
                  <c:v>42247</c:v>
                </c:pt>
                <c:pt idx="244">
                  <c:v>42254</c:v>
                </c:pt>
                <c:pt idx="245">
                  <c:v>42261</c:v>
                </c:pt>
                <c:pt idx="246">
                  <c:v>42268</c:v>
                </c:pt>
                <c:pt idx="247">
                  <c:v>42275</c:v>
                </c:pt>
                <c:pt idx="248">
                  <c:v>42282</c:v>
                </c:pt>
                <c:pt idx="249">
                  <c:v>42289</c:v>
                </c:pt>
                <c:pt idx="250">
                  <c:v>42296</c:v>
                </c:pt>
                <c:pt idx="251">
                  <c:v>42303</c:v>
                </c:pt>
                <c:pt idx="252">
                  <c:v>42310</c:v>
                </c:pt>
                <c:pt idx="253">
                  <c:v>42317</c:v>
                </c:pt>
                <c:pt idx="254">
                  <c:v>42324</c:v>
                </c:pt>
                <c:pt idx="255">
                  <c:v>42331</c:v>
                </c:pt>
                <c:pt idx="256">
                  <c:v>42338</c:v>
                </c:pt>
                <c:pt idx="257">
                  <c:v>42345</c:v>
                </c:pt>
                <c:pt idx="258">
                  <c:v>42352</c:v>
                </c:pt>
                <c:pt idx="259">
                  <c:v>42359</c:v>
                </c:pt>
                <c:pt idx="260">
                  <c:v>42366</c:v>
                </c:pt>
                <c:pt idx="261">
                  <c:v>42373</c:v>
                </c:pt>
                <c:pt idx="262">
                  <c:v>42380</c:v>
                </c:pt>
                <c:pt idx="263">
                  <c:v>42387</c:v>
                </c:pt>
                <c:pt idx="264">
                  <c:v>42394</c:v>
                </c:pt>
                <c:pt idx="265">
                  <c:v>42401</c:v>
                </c:pt>
                <c:pt idx="266">
                  <c:v>42408</c:v>
                </c:pt>
                <c:pt idx="267">
                  <c:v>42415</c:v>
                </c:pt>
                <c:pt idx="268">
                  <c:v>42422</c:v>
                </c:pt>
                <c:pt idx="269">
                  <c:v>42429</c:v>
                </c:pt>
                <c:pt idx="270">
                  <c:v>42436</c:v>
                </c:pt>
                <c:pt idx="271">
                  <c:v>42443</c:v>
                </c:pt>
                <c:pt idx="272">
                  <c:v>42450</c:v>
                </c:pt>
                <c:pt idx="273">
                  <c:v>42457</c:v>
                </c:pt>
                <c:pt idx="274">
                  <c:v>42464</c:v>
                </c:pt>
                <c:pt idx="275">
                  <c:v>42471</c:v>
                </c:pt>
                <c:pt idx="276">
                  <c:v>42478</c:v>
                </c:pt>
                <c:pt idx="277">
                  <c:v>42485</c:v>
                </c:pt>
                <c:pt idx="278">
                  <c:v>42492</c:v>
                </c:pt>
                <c:pt idx="279">
                  <c:v>42499</c:v>
                </c:pt>
                <c:pt idx="280">
                  <c:v>42506</c:v>
                </c:pt>
                <c:pt idx="281">
                  <c:v>42513</c:v>
                </c:pt>
                <c:pt idx="282">
                  <c:v>42520</c:v>
                </c:pt>
                <c:pt idx="283">
                  <c:v>42527</c:v>
                </c:pt>
                <c:pt idx="284">
                  <c:v>42534</c:v>
                </c:pt>
                <c:pt idx="285">
                  <c:v>42541</c:v>
                </c:pt>
                <c:pt idx="286">
                  <c:v>42548</c:v>
                </c:pt>
                <c:pt idx="287">
                  <c:v>42555</c:v>
                </c:pt>
                <c:pt idx="288">
                  <c:v>42562</c:v>
                </c:pt>
                <c:pt idx="289">
                  <c:v>42569</c:v>
                </c:pt>
                <c:pt idx="290">
                  <c:v>42576</c:v>
                </c:pt>
                <c:pt idx="291">
                  <c:v>42583</c:v>
                </c:pt>
                <c:pt idx="292">
                  <c:v>42590</c:v>
                </c:pt>
                <c:pt idx="293">
                  <c:v>42597</c:v>
                </c:pt>
                <c:pt idx="294">
                  <c:v>42604</c:v>
                </c:pt>
                <c:pt idx="295">
                  <c:v>42611</c:v>
                </c:pt>
                <c:pt idx="296">
                  <c:v>42618</c:v>
                </c:pt>
                <c:pt idx="297">
                  <c:v>42625</c:v>
                </c:pt>
                <c:pt idx="298">
                  <c:v>42632</c:v>
                </c:pt>
                <c:pt idx="299">
                  <c:v>42639</c:v>
                </c:pt>
                <c:pt idx="300">
                  <c:v>42646</c:v>
                </c:pt>
                <c:pt idx="301">
                  <c:v>42653</c:v>
                </c:pt>
                <c:pt idx="302">
                  <c:v>42660</c:v>
                </c:pt>
                <c:pt idx="303">
                  <c:v>42667</c:v>
                </c:pt>
                <c:pt idx="304">
                  <c:v>42674</c:v>
                </c:pt>
                <c:pt idx="305">
                  <c:v>42681</c:v>
                </c:pt>
                <c:pt idx="306">
                  <c:v>42688</c:v>
                </c:pt>
                <c:pt idx="307">
                  <c:v>42695</c:v>
                </c:pt>
                <c:pt idx="308">
                  <c:v>42702</c:v>
                </c:pt>
                <c:pt idx="309">
                  <c:v>42709</c:v>
                </c:pt>
                <c:pt idx="310">
                  <c:v>42716</c:v>
                </c:pt>
                <c:pt idx="311">
                  <c:v>42723</c:v>
                </c:pt>
                <c:pt idx="312">
                  <c:v>42730</c:v>
                </c:pt>
                <c:pt idx="313">
                  <c:v>42737</c:v>
                </c:pt>
                <c:pt idx="314">
                  <c:v>42744</c:v>
                </c:pt>
                <c:pt idx="315">
                  <c:v>42751</c:v>
                </c:pt>
                <c:pt idx="316">
                  <c:v>42758</c:v>
                </c:pt>
                <c:pt idx="317">
                  <c:v>42765</c:v>
                </c:pt>
                <c:pt idx="318">
                  <c:v>42772</c:v>
                </c:pt>
                <c:pt idx="319">
                  <c:v>42779</c:v>
                </c:pt>
                <c:pt idx="320">
                  <c:v>42786</c:v>
                </c:pt>
                <c:pt idx="321">
                  <c:v>42793</c:v>
                </c:pt>
                <c:pt idx="322">
                  <c:v>42800</c:v>
                </c:pt>
                <c:pt idx="323">
                  <c:v>42807</c:v>
                </c:pt>
                <c:pt idx="324">
                  <c:v>42814</c:v>
                </c:pt>
                <c:pt idx="325">
                  <c:v>42821</c:v>
                </c:pt>
                <c:pt idx="326">
                  <c:v>42828</c:v>
                </c:pt>
                <c:pt idx="327">
                  <c:v>42835</c:v>
                </c:pt>
                <c:pt idx="328">
                  <c:v>42842</c:v>
                </c:pt>
                <c:pt idx="329">
                  <c:v>42849</c:v>
                </c:pt>
                <c:pt idx="330">
                  <c:v>42856</c:v>
                </c:pt>
                <c:pt idx="331">
                  <c:v>42863</c:v>
                </c:pt>
                <c:pt idx="332">
                  <c:v>42870</c:v>
                </c:pt>
                <c:pt idx="333">
                  <c:v>42877</c:v>
                </c:pt>
                <c:pt idx="334">
                  <c:v>42884</c:v>
                </c:pt>
                <c:pt idx="335">
                  <c:v>42891</c:v>
                </c:pt>
                <c:pt idx="336">
                  <c:v>42898</c:v>
                </c:pt>
                <c:pt idx="337">
                  <c:v>42905</c:v>
                </c:pt>
                <c:pt idx="338">
                  <c:v>42912</c:v>
                </c:pt>
                <c:pt idx="339">
                  <c:v>42919</c:v>
                </c:pt>
                <c:pt idx="340">
                  <c:v>42926</c:v>
                </c:pt>
                <c:pt idx="341">
                  <c:v>42933</c:v>
                </c:pt>
                <c:pt idx="342">
                  <c:v>42940</c:v>
                </c:pt>
                <c:pt idx="343">
                  <c:v>42947</c:v>
                </c:pt>
                <c:pt idx="344">
                  <c:v>42954</c:v>
                </c:pt>
                <c:pt idx="345">
                  <c:v>42961</c:v>
                </c:pt>
                <c:pt idx="346">
                  <c:v>42968</c:v>
                </c:pt>
                <c:pt idx="347">
                  <c:v>42975</c:v>
                </c:pt>
                <c:pt idx="348">
                  <c:v>42982</c:v>
                </c:pt>
                <c:pt idx="349">
                  <c:v>42989</c:v>
                </c:pt>
                <c:pt idx="350">
                  <c:v>42996</c:v>
                </c:pt>
                <c:pt idx="351">
                  <c:v>43003</c:v>
                </c:pt>
                <c:pt idx="352">
                  <c:v>43010</c:v>
                </c:pt>
                <c:pt idx="353">
                  <c:v>43017</c:v>
                </c:pt>
                <c:pt idx="354">
                  <c:v>43024</c:v>
                </c:pt>
                <c:pt idx="355">
                  <c:v>43031</c:v>
                </c:pt>
                <c:pt idx="356">
                  <c:v>43038</c:v>
                </c:pt>
                <c:pt idx="357">
                  <c:v>43045</c:v>
                </c:pt>
                <c:pt idx="358">
                  <c:v>43052</c:v>
                </c:pt>
                <c:pt idx="359">
                  <c:v>43059</c:v>
                </c:pt>
                <c:pt idx="360">
                  <c:v>43066</c:v>
                </c:pt>
                <c:pt idx="361">
                  <c:v>43073</c:v>
                </c:pt>
                <c:pt idx="362">
                  <c:v>43080</c:v>
                </c:pt>
                <c:pt idx="363">
                  <c:v>43087</c:v>
                </c:pt>
                <c:pt idx="364">
                  <c:v>43094</c:v>
                </c:pt>
                <c:pt idx="365">
                  <c:v>43101</c:v>
                </c:pt>
                <c:pt idx="366">
                  <c:v>43108</c:v>
                </c:pt>
                <c:pt idx="367">
                  <c:v>43115</c:v>
                </c:pt>
                <c:pt idx="368">
                  <c:v>43122</c:v>
                </c:pt>
                <c:pt idx="369">
                  <c:v>43129</c:v>
                </c:pt>
                <c:pt idx="370">
                  <c:v>43136</c:v>
                </c:pt>
                <c:pt idx="371">
                  <c:v>43143</c:v>
                </c:pt>
                <c:pt idx="372">
                  <c:v>43150</c:v>
                </c:pt>
                <c:pt idx="373">
                  <c:v>43157</c:v>
                </c:pt>
                <c:pt idx="374">
                  <c:v>43164</c:v>
                </c:pt>
                <c:pt idx="375">
                  <c:v>43171</c:v>
                </c:pt>
                <c:pt idx="376">
                  <c:v>43178</c:v>
                </c:pt>
                <c:pt idx="377">
                  <c:v>43185</c:v>
                </c:pt>
                <c:pt idx="378">
                  <c:v>43192</c:v>
                </c:pt>
                <c:pt idx="379">
                  <c:v>43199</c:v>
                </c:pt>
                <c:pt idx="380">
                  <c:v>43206</c:v>
                </c:pt>
                <c:pt idx="381">
                  <c:v>43213</c:v>
                </c:pt>
                <c:pt idx="382">
                  <c:v>43220</c:v>
                </c:pt>
                <c:pt idx="383">
                  <c:v>43227</c:v>
                </c:pt>
                <c:pt idx="384">
                  <c:v>43234</c:v>
                </c:pt>
                <c:pt idx="385">
                  <c:v>43241</c:v>
                </c:pt>
                <c:pt idx="386">
                  <c:v>43248</c:v>
                </c:pt>
                <c:pt idx="387">
                  <c:v>43255</c:v>
                </c:pt>
                <c:pt idx="388">
                  <c:v>43262</c:v>
                </c:pt>
                <c:pt idx="389">
                  <c:v>43269</c:v>
                </c:pt>
                <c:pt idx="390">
                  <c:v>43276</c:v>
                </c:pt>
                <c:pt idx="391">
                  <c:v>43283</c:v>
                </c:pt>
                <c:pt idx="392">
                  <c:v>43290</c:v>
                </c:pt>
                <c:pt idx="393">
                  <c:v>43297</c:v>
                </c:pt>
                <c:pt idx="394">
                  <c:v>43304</c:v>
                </c:pt>
                <c:pt idx="395">
                  <c:v>43311</c:v>
                </c:pt>
                <c:pt idx="396">
                  <c:v>43318</c:v>
                </c:pt>
                <c:pt idx="397">
                  <c:v>43325</c:v>
                </c:pt>
                <c:pt idx="398">
                  <c:v>43332</c:v>
                </c:pt>
                <c:pt idx="399">
                  <c:v>43339</c:v>
                </c:pt>
                <c:pt idx="400">
                  <c:v>43346</c:v>
                </c:pt>
                <c:pt idx="401">
                  <c:v>43353</c:v>
                </c:pt>
                <c:pt idx="402">
                  <c:v>43360</c:v>
                </c:pt>
                <c:pt idx="403">
                  <c:v>43367</c:v>
                </c:pt>
                <c:pt idx="404">
                  <c:v>43374</c:v>
                </c:pt>
                <c:pt idx="405">
                  <c:v>43381</c:v>
                </c:pt>
                <c:pt idx="406">
                  <c:v>43388</c:v>
                </c:pt>
                <c:pt idx="407">
                  <c:v>43395</c:v>
                </c:pt>
                <c:pt idx="408">
                  <c:v>43402</c:v>
                </c:pt>
                <c:pt idx="409">
                  <c:v>43409</c:v>
                </c:pt>
                <c:pt idx="410">
                  <c:v>43416</c:v>
                </c:pt>
                <c:pt idx="411">
                  <c:v>43423</c:v>
                </c:pt>
                <c:pt idx="412">
                  <c:v>43430</c:v>
                </c:pt>
                <c:pt idx="413">
                  <c:v>43437</c:v>
                </c:pt>
                <c:pt idx="414">
                  <c:v>43444</c:v>
                </c:pt>
                <c:pt idx="415">
                  <c:v>43451</c:v>
                </c:pt>
                <c:pt idx="416">
                  <c:v>43458</c:v>
                </c:pt>
                <c:pt idx="417">
                  <c:v>43465</c:v>
                </c:pt>
                <c:pt idx="418">
                  <c:v>43472</c:v>
                </c:pt>
                <c:pt idx="419">
                  <c:v>43479</c:v>
                </c:pt>
                <c:pt idx="420">
                  <c:v>43486</c:v>
                </c:pt>
                <c:pt idx="421">
                  <c:v>43493</c:v>
                </c:pt>
                <c:pt idx="422">
                  <c:v>43500</c:v>
                </c:pt>
                <c:pt idx="423">
                  <c:v>43507</c:v>
                </c:pt>
                <c:pt idx="424">
                  <c:v>43514</c:v>
                </c:pt>
                <c:pt idx="425">
                  <c:v>43521</c:v>
                </c:pt>
                <c:pt idx="426">
                  <c:v>43528</c:v>
                </c:pt>
                <c:pt idx="427">
                  <c:v>43535</c:v>
                </c:pt>
                <c:pt idx="428">
                  <c:v>43542</c:v>
                </c:pt>
                <c:pt idx="429">
                  <c:v>43549</c:v>
                </c:pt>
                <c:pt idx="430">
                  <c:v>43556</c:v>
                </c:pt>
                <c:pt idx="431">
                  <c:v>43563</c:v>
                </c:pt>
                <c:pt idx="432">
                  <c:v>43570</c:v>
                </c:pt>
                <c:pt idx="433">
                  <c:v>43577</c:v>
                </c:pt>
                <c:pt idx="434">
                  <c:v>43584</c:v>
                </c:pt>
                <c:pt idx="435">
                  <c:v>43591</c:v>
                </c:pt>
                <c:pt idx="436">
                  <c:v>43598</c:v>
                </c:pt>
                <c:pt idx="437">
                  <c:v>43605</c:v>
                </c:pt>
                <c:pt idx="438">
                  <c:v>43612</c:v>
                </c:pt>
                <c:pt idx="439">
                  <c:v>43619</c:v>
                </c:pt>
                <c:pt idx="440">
                  <c:v>43626</c:v>
                </c:pt>
                <c:pt idx="441">
                  <c:v>43633</c:v>
                </c:pt>
                <c:pt idx="442">
                  <c:v>43640</c:v>
                </c:pt>
                <c:pt idx="443">
                  <c:v>43647</c:v>
                </c:pt>
                <c:pt idx="444">
                  <c:v>43654</c:v>
                </c:pt>
                <c:pt idx="445">
                  <c:v>43661</c:v>
                </c:pt>
                <c:pt idx="446">
                  <c:v>43668</c:v>
                </c:pt>
                <c:pt idx="447">
                  <c:v>43675</c:v>
                </c:pt>
                <c:pt idx="448">
                  <c:v>43682</c:v>
                </c:pt>
                <c:pt idx="449">
                  <c:v>43689</c:v>
                </c:pt>
                <c:pt idx="450">
                  <c:v>43696</c:v>
                </c:pt>
                <c:pt idx="451">
                  <c:v>43703</c:v>
                </c:pt>
                <c:pt idx="452">
                  <c:v>43710</c:v>
                </c:pt>
                <c:pt idx="453">
                  <c:v>43717</c:v>
                </c:pt>
                <c:pt idx="454">
                  <c:v>43724</c:v>
                </c:pt>
                <c:pt idx="455">
                  <c:v>43731</c:v>
                </c:pt>
                <c:pt idx="456">
                  <c:v>43738</c:v>
                </c:pt>
                <c:pt idx="457">
                  <c:v>43745</c:v>
                </c:pt>
                <c:pt idx="458">
                  <c:v>43752</c:v>
                </c:pt>
                <c:pt idx="459">
                  <c:v>43759</c:v>
                </c:pt>
                <c:pt idx="460">
                  <c:v>43766</c:v>
                </c:pt>
                <c:pt idx="461">
                  <c:v>43773</c:v>
                </c:pt>
                <c:pt idx="462">
                  <c:v>43780</c:v>
                </c:pt>
                <c:pt idx="463">
                  <c:v>43787</c:v>
                </c:pt>
                <c:pt idx="464">
                  <c:v>43794</c:v>
                </c:pt>
                <c:pt idx="465">
                  <c:v>43801</c:v>
                </c:pt>
                <c:pt idx="466">
                  <c:v>43808</c:v>
                </c:pt>
                <c:pt idx="467">
                  <c:v>43815</c:v>
                </c:pt>
                <c:pt idx="468">
                  <c:v>43822</c:v>
                </c:pt>
                <c:pt idx="469">
                  <c:v>43829</c:v>
                </c:pt>
                <c:pt idx="470">
                  <c:v>43836</c:v>
                </c:pt>
                <c:pt idx="471">
                  <c:v>43843</c:v>
                </c:pt>
                <c:pt idx="472">
                  <c:v>43850</c:v>
                </c:pt>
                <c:pt idx="473">
                  <c:v>43857</c:v>
                </c:pt>
                <c:pt idx="474">
                  <c:v>43864</c:v>
                </c:pt>
                <c:pt idx="475">
                  <c:v>43871</c:v>
                </c:pt>
                <c:pt idx="476">
                  <c:v>43878</c:v>
                </c:pt>
                <c:pt idx="477">
                  <c:v>43885</c:v>
                </c:pt>
                <c:pt idx="478">
                  <c:v>43892</c:v>
                </c:pt>
                <c:pt idx="479">
                  <c:v>43899</c:v>
                </c:pt>
                <c:pt idx="480">
                  <c:v>43906</c:v>
                </c:pt>
                <c:pt idx="481">
                  <c:v>43913</c:v>
                </c:pt>
                <c:pt idx="482">
                  <c:v>43920</c:v>
                </c:pt>
                <c:pt idx="483">
                  <c:v>43927</c:v>
                </c:pt>
                <c:pt idx="484">
                  <c:v>43934</c:v>
                </c:pt>
                <c:pt idx="485">
                  <c:v>43941</c:v>
                </c:pt>
                <c:pt idx="486">
                  <c:v>43948</c:v>
                </c:pt>
                <c:pt idx="487">
                  <c:v>43955</c:v>
                </c:pt>
                <c:pt idx="488">
                  <c:v>43962</c:v>
                </c:pt>
                <c:pt idx="489">
                  <c:v>43969</c:v>
                </c:pt>
                <c:pt idx="490">
                  <c:v>43976</c:v>
                </c:pt>
                <c:pt idx="491">
                  <c:v>43983</c:v>
                </c:pt>
                <c:pt idx="492">
                  <c:v>43990</c:v>
                </c:pt>
                <c:pt idx="493">
                  <c:v>43997</c:v>
                </c:pt>
                <c:pt idx="494">
                  <c:v>44004</c:v>
                </c:pt>
                <c:pt idx="495">
                  <c:v>44011</c:v>
                </c:pt>
                <c:pt idx="496">
                  <c:v>44018</c:v>
                </c:pt>
                <c:pt idx="497">
                  <c:v>44025</c:v>
                </c:pt>
                <c:pt idx="498">
                  <c:v>44032</c:v>
                </c:pt>
                <c:pt idx="499">
                  <c:v>44039</c:v>
                </c:pt>
                <c:pt idx="500">
                  <c:v>44046</c:v>
                </c:pt>
                <c:pt idx="501">
                  <c:v>44053</c:v>
                </c:pt>
                <c:pt idx="502">
                  <c:v>44060</c:v>
                </c:pt>
                <c:pt idx="503">
                  <c:v>44067</c:v>
                </c:pt>
                <c:pt idx="504">
                  <c:v>44074</c:v>
                </c:pt>
                <c:pt idx="505">
                  <c:v>44081</c:v>
                </c:pt>
                <c:pt idx="506">
                  <c:v>44088</c:v>
                </c:pt>
                <c:pt idx="507">
                  <c:v>44095</c:v>
                </c:pt>
                <c:pt idx="508">
                  <c:v>44102</c:v>
                </c:pt>
                <c:pt idx="509">
                  <c:v>44109</c:v>
                </c:pt>
                <c:pt idx="510">
                  <c:v>44116</c:v>
                </c:pt>
                <c:pt idx="511">
                  <c:v>44123</c:v>
                </c:pt>
                <c:pt idx="512">
                  <c:v>44130</c:v>
                </c:pt>
                <c:pt idx="513">
                  <c:v>44137</c:v>
                </c:pt>
                <c:pt idx="514">
                  <c:v>44144</c:v>
                </c:pt>
                <c:pt idx="515">
                  <c:v>44151</c:v>
                </c:pt>
                <c:pt idx="516">
                  <c:v>44158</c:v>
                </c:pt>
                <c:pt idx="517">
                  <c:v>44165</c:v>
                </c:pt>
                <c:pt idx="518">
                  <c:v>44172</c:v>
                </c:pt>
                <c:pt idx="519">
                  <c:v>44179</c:v>
                </c:pt>
                <c:pt idx="520">
                  <c:v>44186</c:v>
                </c:pt>
                <c:pt idx="521">
                  <c:v>44193</c:v>
                </c:pt>
                <c:pt idx="522">
                  <c:v>44200</c:v>
                </c:pt>
                <c:pt idx="523">
                  <c:v>44207</c:v>
                </c:pt>
                <c:pt idx="524">
                  <c:v>44214</c:v>
                </c:pt>
                <c:pt idx="525">
                  <c:v>44221</c:v>
                </c:pt>
                <c:pt idx="526">
                  <c:v>44228</c:v>
                </c:pt>
                <c:pt idx="527">
                  <c:v>44235</c:v>
                </c:pt>
                <c:pt idx="528">
                  <c:v>44242</c:v>
                </c:pt>
                <c:pt idx="529">
                  <c:v>44249</c:v>
                </c:pt>
                <c:pt idx="530">
                  <c:v>44256</c:v>
                </c:pt>
                <c:pt idx="531">
                  <c:v>44263</c:v>
                </c:pt>
                <c:pt idx="532">
                  <c:v>44270</c:v>
                </c:pt>
                <c:pt idx="533">
                  <c:v>44277</c:v>
                </c:pt>
                <c:pt idx="534">
                  <c:v>44284</c:v>
                </c:pt>
                <c:pt idx="535">
                  <c:v>44291</c:v>
                </c:pt>
                <c:pt idx="536">
                  <c:v>44298</c:v>
                </c:pt>
                <c:pt idx="537">
                  <c:v>44305</c:v>
                </c:pt>
                <c:pt idx="538">
                  <c:v>44312</c:v>
                </c:pt>
                <c:pt idx="539">
                  <c:v>44319</c:v>
                </c:pt>
                <c:pt idx="540">
                  <c:v>44326</c:v>
                </c:pt>
                <c:pt idx="541">
                  <c:v>44333</c:v>
                </c:pt>
                <c:pt idx="542">
                  <c:v>44340</c:v>
                </c:pt>
                <c:pt idx="543">
                  <c:v>44347</c:v>
                </c:pt>
                <c:pt idx="544">
                  <c:v>44354</c:v>
                </c:pt>
                <c:pt idx="545">
                  <c:v>44361</c:v>
                </c:pt>
                <c:pt idx="546">
                  <c:v>44368</c:v>
                </c:pt>
                <c:pt idx="547">
                  <c:v>44375</c:v>
                </c:pt>
                <c:pt idx="548">
                  <c:v>44382</c:v>
                </c:pt>
                <c:pt idx="549">
                  <c:v>44389</c:v>
                </c:pt>
                <c:pt idx="550">
                  <c:v>44396</c:v>
                </c:pt>
                <c:pt idx="551">
                  <c:v>44403</c:v>
                </c:pt>
              </c:numCache>
            </c:numRef>
          </c:cat>
          <c:val>
            <c:numRef>
              <c:f>USGasPrice!$E$930:$E$1481</c:f>
              <c:numCache>
                <c:formatCode>General</c:formatCode>
                <c:ptCount val="552"/>
                <c:pt idx="0">
                  <c:v>3.1240000000000001</c:v>
                </c:pt>
                <c:pt idx="1">
                  <c:v>3.1419999999999999</c:v>
                </c:pt>
                <c:pt idx="2">
                  <c:v>3.1579999999999999</c:v>
                </c:pt>
                <c:pt idx="3">
                  <c:v>3.1629999999999998</c:v>
                </c:pt>
                <c:pt idx="4">
                  <c:v>3.1549999999999998</c:v>
                </c:pt>
                <c:pt idx="5">
                  <c:v>3.1850000000000001</c:v>
                </c:pt>
                <c:pt idx="6">
                  <c:v>3.1930000000000001</c:v>
                </c:pt>
                <c:pt idx="7">
                  <c:v>3.2429999999999999</c:v>
                </c:pt>
                <c:pt idx="8">
                  <c:v>3.4350000000000001</c:v>
                </c:pt>
                <c:pt idx="9">
                  <c:v>3.5720000000000001</c:v>
                </c:pt>
                <c:pt idx="10">
                  <c:v>3.621</c:v>
                </c:pt>
                <c:pt idx="11">
                  <c:v>3.617</c:v>
                </c:pt>
                <c:pt idx="12">
                  <c:v>3.65</c:v>
                </c:pt>
                <c:pt idx="13">
                  <c:v>3.7370000000000001</c:v>
                </c:pt>
                <c:pt idx="14">
                  <c:v>3.843</c:v>
                </c:pt>
                <c:pt idx="15">
                  <c:v>3.8959999999999999</c:v>
                </c:pt>
                <c:pt idx="16">
                  <c:v>3.9319999999999999</c:v>
                </c:pt>
                <c:pt idx="17">
                  <c:v>4.0140000000000002</c:v>
                </c:pt>
                <c:pt idx="18">
                  <c:v>4.0179999999999998</c:v>
                </c:pt>
                <c:pt idx="19">
                  <c:v>4.0140000000000002</c:v>
                </c:pt>
                <c:pt idx="20">
                  <c:v>3.9039999999999999</c:v>
                </c:pt>
                <c:pt idx="21">
                  <c:v>3.8479999999999999</c:v>
                </c:pt>
                <c:pt idx="22">
                  <c:v>3.8330000000000002</c:v>
                </c:pt>
                <c:pt idx="23">
                  <c:v>3.7669999999999999</c:v>
                </c:pt>
                <c:pt idx="24">
                  <c:v>3.7080000000000002</c:v>
                </c:pt>
                <c:pt idx="25">
                  <c:v>3.6309999999999998</c:v>
                </c:pt>
                <c:pt idx="26">
                  <c:v>3.6339999999999999</c:v>
                </c:pt>
                <c:pt idx="27">
                  <c:v>3.6949999999999998</c:v>
                </c:pt>
                <c:pt idx="28">
                  <c:v>3.7360000000000002</c:v>
                </c:pt>
                <c:pt idx="29">
                  <c:v>3.754</c:v>
                </c:pt>
                <c:pt idx="30">
                  <c:v>3.766</c:v>
                </c:pt>
                <c:pt idx="31">
                  <c:v>3.73</c:v>
                </c:pt>
                <c:pt idx="32">
                  <c:v>3.6619999999999999</c:v>
                </c:pt>
                <c:pt idx="33">
                  <c:v>3.6379999999999999</c:v>
                </c:pt>
                <c:pt idx="34">
                  <c:v>3.6819999999999999</c:v>
                </c:pt>
                <c:pt idx="35">
                  <c:v>3.7269999999999999</c:v>
                </c:pt>
                <c:pt idx="36">
                  <c:v>3.7149999999999999</c:v>
                </c:pt>
                <c:pt idx="37">
                  <c:v>3.657</c:v>
                </c:pt>
                <c:pt idx="38">
                  <c:v>3.5680000000000001</c:v>
                </c:pt>
                <c:pt idx="39">
                  <c:v>3.492</c:v>
                </c:pt>
                <c:pt idx="40">
                  <c:v>3.476</c:v>
                </c:pt>
                <c:pt idx="41">
                  <c:v>3.5329999999999999</c:v>
                </c:pt>
                <c:pt idx="42">
                  <c:v>3.52</c:v>
                </c:pt>
                <c:pt idx="43">
                  <c:v>3.5110000000000001</c:v>
                </c:pt>
                <c:pt idx="44">
                  <c:v>3.4820000000000002</c:v>
                </c:pt>
                <c:pt idx="45">
                  <c:v>3.4950000000000001</c:v>
                </c:pt>
                <c:pt idx="46">
                  <c:v>3.427</c:v>
                </c:pt>
                <c:pt idx="47">
                  <c:v>3.3679999999999999</c:v>
                </c:pt>
                <c:pt idx="48">
                  <c:v>3.35</c:v>
                </c:pt>
                <c:pt idx="49">
                  <c:v>3.3460000000000001</c:v>
                </c:pt>
                <c:pt idx="50">
                  <c:v>3.29</c:v>
                </c:pt>
                <c:pt idx="51">
                  <c:v>3.3170000000000002</c:v>
                </c:pt>
                <c:pt idx="52">
                  <c:v>3.3580000000000001</c:v>
                </c:pt>
                <c:pt idx="53">
                  <c:v>3.4409999999999998</c:v>
                </c:pt>
                <c:pt idx="54">
                  <c:v>3.4510000000000001</c:v>
                </c:pt>
                <c:pt idx="55">
                  <c:v>3.45</c:v>
                </c:pt>
                <c:pt idx="56">
                  <c:v>3.5</c:v>
                </c:pt>
                <c:pt idx="57">
                  <c:v>3.5419999999999998</c:v>
                </c:pt>
                <c:pt idx="58">
                  <c:v>3.5840000000000001</c:v>
                </c:pt>
                <c:pt idx="59">
                  <c:v>3.6520000000000001</c:v>
                </c:pt>
                <c:pt idx="60">
                  <c:v>3.78</c:v>
                </c:pt>
                <c:pt idx="61">
                  <c:v>3.8490000000000002</c:v>
                </c:pt>
                <c:pt idx="62">
                  <c:v>3.8839999999999999</c:v>
                </c:pt>
                <c:pt idx="63">
                  <c:v>3.923</c:v>
                </c:pt>
                <c:pt idx="64">
                  <c:v>3.9729999999999999</c:v>
                </c:pt>
                <c:pt idx="65">
                  <c:v>3.996</c:v>
                </c:pt>
                <c:pt idx="66">
                  <c:v>3.9969999999999999</c:v>
                </c:pt>
                <c:pt idx="67">
                  <c:v>3.98</c:v>
                </c:pt>
                <c:pt idx="68">
                  <c:v>3.9289999999999998</c:v>
                </c:pt>
                <c:pt idx="69">
                  <c:v>3.8889999999999998</c:v>
                </c:pt>
                <c:pt idx="70">
                  <c:v>3.8490000000000002</c:v>
                </c:pt>
                <c:pt idx="71">
                  <c:v>3.8140000000000001</c:v>
                </c:pt>
                <c:pt idx="72">
                  <c:v>3.7730000000000001</c:v>
                </c:pt>
                <c:pt idx="73">
                  <c:v>3.7280000000000002</c:v>
                </c:pt>
                <c:pt idx="74">
                  <c:v>3.6709999999999998</c:v>
                </c:pt>
                <c:pt idx="75">
                  <c:v>3.629</c:v>
                </c:pt>
                <c:pt idx="76">
                  <c:v>3.589</c:v>
                </c:pt>
                <c:pt idx="77">
                  <c:v>3.4940000000000002</c:v>
                </c:pt>
                <c:pt idx="78">
                  <c:v>3.415</c:v>
                </c:pt>
                <c:pt idx="79">
                  <c:v>3.4689999999999999</c:v>
                </c:pt>
                <c:pt idx="80">
                  <c:v>3.4849999999999999</c:v>
                </c:pt>
                <c:pt idx="81">
                  <c:v>3.5539999999999998</c:v>
                </c:pt>
                <c:pt idx="82">
                  <c:v>3.5680000000000001</c:v>
                </c:pt>
                <c:pt idx="83">
                  <c:v>3.702</c:v>
                </c:pt>
                <c:pt idx="84">
                  <c:v>3.7789999999999999</c:v>
                </c:pt>
                <c:pt idx="85">
                  <c:v>3.8029999999999999</c:v>
                </c:pt>
                <c:pt idx="86">
                  <c:v>3.8370000000000002</c:v>
                </c:pt>
                <c:pt idx="87">
                  <c:v>3.903</c:v>
                </c:pt>
                <c:pt idx="88">
                  <c:v>3.907</c:v>
                </c:pt>
                <c:pt idx="89">
                  <c:v>3.9390000000000001</c:v>
                </c:pt>
                <c:pt idx="90">
                  <c:v>3.8889999999999998</c:v>
                </c:pt>
                <c:pt idx="91">
                  <c:v>3.8660000000000001</c:v>
                </c:pt>
                <c:pt idx="92">
                  <c:v>3.9140000000000001</c:v>
                </c:pt>
                <c:pt idx="93">
                  <c:v>3.8860000000000001</c:v>
                </c:pt>
                <c:pt idx="94">
                  <c:v>3.7559999999999998</c:v>
                </c:pt>
                <c:pt idx="95">
                  <c:v>3.6379999999999999</c:v>
                </c:pt>
                <c:pt idx="96">
                  <c:v>3.5630000000000002</c:v>
                </c:pt>
                <c:pt idx="97">
                  <c:v>3.5179999999999998</c:v>
                </c:pt>
                <c:pt idx="98">
                  <c:v>3.4969999999999999</c:v>
                </c:pt>
                <c:pt idx="99">
                  <c:v>3.5049999999999999</c:v>
                </c:pt>
                <c:pt idx="100">
                  <c:v>3.4630000000000001</c:v>
                </c:pt>
                <c:pt idx="101">
                  <c:v>3.419</c:v>
                </c:pt>
                <c:pt idx="102">
                  <c:v>3.3239999999999998</c:v>
                </c:pt>
                <c:pt idx="103">
                  <c:v>3.3279999999999998</c:v>
                </c:pt>
                <c:pt idx="104">
                  <c:v>3.3690000000000002</c:v>
                </c:pt>
                <c:pt idx="105">
                  <c:v>3.3730000000000002</c:v>
                </c:pt>
                <c:pt idx="106">
                  <c:v>3.3769999999999998</c:v>
                </c:pt>
                <c:pt idx="107">
                  <c:v>3.3860000000000001</c:v>
                </c:pt>
                <c:pt idx="108">
                  <c:v>3.427</c:v>
                </c:pt>
                <c:pt idx="109">
                  <c:v>3.6040000000000001</c:v>
                </c:pt>
                <c:pt idx="110">
                  <c:v>3.677</c:v>
                </c:pt>
                <c:pt idx="111">
                  <c:v>3.8119999999999998</c:v>
                </c:pt>
                <c:pt idx="112">
                  <c:v>3.851</c:v>
                </c:pt>
                <c:pt idx="113">
                  <c:v>3.8260000000000001</c:v>
                </c:pt>
                <c:pt idx="114">
                  <c:v>3.7789999999999999</c:v>
                </c:pt>
                <c:pt idx="115">
                  <c:v>3.7639999999999998</c:v>
                </c:pt>
                <c:pt idx="116">
                  <c:v>3.746</c:v>
                </c:pt>
                <c:pt idx="117">
                  <c:v>3.714</c:v>
                </c:pt>
                <c:pt idx="118">
                  <c:v>3.6760000000000002</c:v>
                </c:pt>
                <c:pt idx="119">
                  <c:v>3.6110000000000002</c:v>
                </c:pt>
                <c:pt idx="120">
                  <c:v>3.6030000000000002</c:v>
                </c:pt>
                <c:pt idx="121">
                  <c:v>3.5870000000000002</c:v>
                </c:pt>
                <c:pt idx="122">
                  <c:v>3.6019999999999999</c:v>
                </c:pt>
                <c:pt idx="123">
                  <c:v>3.665</c:v>
                </c:pt>
                <c:pt idx="124">
                  <c:v>3.7290000000000001</c:v>
                </c:pt>
                <c:pt idx="125">
                  <c:v>3.7040000000000002</c:v>
                </c:pt>
                <c:pt idx="126">
                  <c:v>3.7050000000000001</c:v>
                </c:pt>
                <c:pt idx="127">
                  <c:v>3.7149999999999999</c:v>
                </c:pt>
                <c:pt idx="128">
                  <c:v>3.6890000000000001</c:v>
                </c:pt>
                <c:pt idx="129">
                  <c:v>3.645</c:v>
                </c:pt>
                <c:pt idx="130">
                  <c:v>3.5670000000000002</c:v>
                </c:pt>
                <c:pt idx="131">
                  <c:v>3.5630000000000002</c:v>
                </c:pt>
                <c:pt idx="132">
                  <c:v>3.706</c:v>
                </c:pt>
                <c:pt idx="133">
                  <c:v>3.7509999999999999</c:v>
                </c:pt>
                <c:pt idx="134">
                  <c:v>3.7160000000000002</c:v>
                </c:pt>
                <c:pt idx="135">
                  <c:v>3.7010000000000001</c:v>
                </c:pt>
                <c:pt idx="136">
                  <c:v>3.633</c:v>
                </c:pt>
                <c:pt idx="137">
                  <c:v>3.6219999999999999</c:v>
                </c:pt>
                <c:pt idx="138">
                  <c:v>3.6230000000000002</c:v>
                </c:pt>
                <c:pt idx="139">
                  <c:v>3.6779999999999999</c:v>
                </c:pt>
                <c:pt idx="140">
                  <c:v>3.6579999999999999</c:v>
                </c:pt>
                <c:pt idx="141">
                  <c:v>3.6190000000000002</c:v>
                </c:pt>
                <c:pt idx="142">
                  <c:v>3.5670000000000002</c:v>
                </c:pt>
                <c:pt idx="143">
                  <c:v>3.4990000000000001</c:v>
                </c:pt>
                <c:pt idx="144">
                  <c:v>3.4409999999999998</c:v>
                </c:pt>
                <c:pt idx="145">
                  <c:v>3.43</c:v>
                </c:pt>
                <c:pt idx="146">
                  <c:v>3.4350000000000001</c:v>
                </c:pt>
                <c:pt idx="147">
                  <c:v>3.3719999999999999</c:v>
                </c:pt>
                <c:pt idx="148">
                  <c:v>3.343</c:v>
                </c:pt>
                <c:pt idx="149">
                  <c:v>3.274</c:v>
                </c:pt>
                <c:pt idx="150">
                  <c:v>3.298</c:v>
                </c:pt>
                <c:pt idx="151">
                  <c:v>3.3719999999999999</c:v>
                </c:pt>
                <c:pt idx="152">
                  <c:v>3.3530000000000002</c:v>
                </c:pt>
                <c:pt idx="153">
                  <c:v>3.35</c:v>
                </c:pt>
                <c:pt idx="154">
                  <c:v>3.3210000000000002</c:v>
                </c:pt>
                <c:pt idx="155">
                  <c:v>3.351</c:v>
                </c:pt>
                <c:pt idx="156">
                  <c:v>3.4089999999999998</c:v>
                </c:pt>
                <c:pt idx="157">
                  <c:v>3.411</c:v>
                </c:pt>
                <c:pt idx="158">
                  <c:v>3.4060000000000001</c:v>
                </c:pt>
                <c:pt idx="159">
                  <c:v>3.3759999999999999</c:v>
                </c:pt>
                <c:pt idx="160">
                  <c:v>3.375</c:v>
                </c:pt>
                <c:pt idx="161">
                  <c:v>3.3719999999999999</c:v>
                </c:pt>
                <c:pt idx="162">
                  <c:v>3.3879999999999999</c:v>
                </c:pt>
                <c:pt idx="163">
                  <c:v>3.4569999999999999</c:v>
                </c:pt>
                <c:pt idx="164">
                  <c:v>3.52</c:v>
                </c:pt>
                <c:pt idx="165">
                  <c:v>3.5529999999999999</c:v>
                </c:pt>
                <c:pt idx="166">
                  <c:v>3.5840000000000001</c:v>
                </c:pt>
                <c:pt idx="167">
                  <c:v>3.6190000000000002</c:v>
                </c:pt>
                <c:pt idx="168">
                  <c:v>3.6219999999999999</c:v>
                </c:pt>
                <c:pt idx="169">
                  <c:v>3.6509999999999998</c:v>
                </c:pt>
                <c:pt idx="170">
                  <c:v>3.67</c:v>
                </c:pt>
                <c:pt idx="171">
                  <c:v>3.7250000000000001</c:v>
                </c:pt>
                <c:pt idx="172">
                  <c:v>3.758</c:v>
                </c:pt>
                <c:pt idx="173">
                  <c:v>3.7879999999999998</c:v>
                </c:pt>
                <c:pt idx="174">
                  <c:v>3.7610000000000001</c:v>
                </c:pt>
                <c:pt idx="175">
                  <c:v>3.746</c:v>
                </c:pt>
                <c:pt idx="176">
                  <c:v>3.7429999999999999</c:v>
                </c:pt>
                <c:pt idx="177">
                  <c:v>3.75</c:v>
                </c:pt>
                <c:pt idx="178">
                  <c:v>3.7650000000000001</c:v>
                </c:pt>
                <c:pt idx="179">
                  <c:v>3.7490000000000001</c:v>
                </c:pt>
                <c:pt idx="180">
                  <c:v>3.76</c:v>
                </c:pt>
                <c:pt idx="181">
                  <c:v>3.778</c:v>
                </c:pt>
                <c:pt idx="182">
                  <c:v>3.778</c:v>
                </c:pt>
                <c:pt idx="183">
                  <c:v>3.7530000000000001</c:v>
                </c:pt>
                <c:pt idx="184">
                  <c:v>3.7120000000000002</c:v>
                </c:pt>
                <c:pt idx="185">
                  <c:v>3.6709999999999998</c:v>
                </c:pt>
                <c:pt idx="186">
                  <c:v>3.617</c:v>
                </c:pt>
                <c:pt idx="187">
                  <c:v>3.5950000000000002</c:v>
                </c:pt>
                <c:pt idx="188">
                  <c:v>3.5819999999999999</c:v>
                </c:pt>
                <c:pt idx="189">
                  <c:v>3.5489999999999999</c:v>
                </c:pt>
                <c:pt idx="190">
                  <c:v>3.532</c:v>
                </c:pt>
                <c:pt idx="191">
                  <c:v>3.536</c:v>
                </c:pt>
                <c:pt idx="192">
                  <c:v>3.5339999999999998</c:v>
                </c:pt>
                <c:pt idx="193">
                  <c:v>3.4849999999999999</c:v>
                </c:pt>
                <c:pt idx="194">
                  <c:v>3.4319999999999999</c:v>
                </c:pt>
                <c:pt idx="195">
                  <c:v>3.4340000000000002</c:v>
                </c:pt>
                <c:pt idx="196">
                  <c:v>3.3820000000000001</c:v>
                </c:pt>
                <c:pt idx="197">
                  <c:v>3.2919999999999998</c:v>
                </c:pt>
                <c:pt idx="198">
                  <c:v>3.2050000000000001</c:v>
                </c:pt>
                <c:pt idx="199">
                  <c:v>3.1389999999999998</c:v>
                </c:pt>
                <c:pt idx="200">
                  <c:v>3.077</c:v>
                </c:pt>
                <c:pt idx="201">
                  <c:v>3.0249999999999999</c:v>
                </c:pt>
                <c:pt idx="202">
                  <c:v>2.9780000000000002</c:v>
                </c:pt>
                <c:pt idx="203">
                  <c:v>2.907</c:v>
                </c:pt>
                <c:pt idx="204">
                  <c:v>2.8639999999999999</c:v>
                </c:pt>
                <c:pt idx="205">
                  <c:v>2.7669999999999999</c:v>
                </c:pt>
                <c:pt idx="206">
                  <c:v>2.6429999999999998</c:v>
                </c:pt>
                <c:pt idx="207">
                  <c:v>2.496</c:v>
                </c:pt>
                <c:pt idx="208">
                  <c:v>2.3919999999999999</c:v>
                </c:pt>
                <c:pt idx="209">
                  <c:v>2.3079999999999998</c:v>
                </c:pt>
                <c:pt idx="210">
                  <c:v>2.2320000000000002</c:v>
                </c:pt>
                <c:pt idx="211">
                  <c:v>2.157</c:v>
                </c:pt>
                <c:pt idx="212">
                  <c:v>2.133</c:v>
                </c:pt>
                <c:pt idx="213">
                  <c:v>2.1539999999999999</c:v>
                </c:pt>
                <c:pt idx="214">
                  <c:v>2.2759999999999998</c:v>
                </c:pt>
                <c:pt idx="215">
                  <c:v>2.3580000000000001</c:v>
                </c:pt>
                <c:pt idx="216">
                  <c:v>2.415</c:v>
                </c:pt>
                <c:pt idx="217">
                  <c:v>2.556</c:v>
                </c:pt>
                <c:pt idx="218">
                  <c:v>2.57</c:v>
                </c:pt>
                <c:pt idx="219">
                  <c:v>2.5369999999999999</c:v>
                </c:pt>
                <c:pt idx="220">
                  <c:v>2.5379999999999998</c:v>
                </c:pt>
                <c:pt idx="221">
                  <c:v>2.5310000000000001</c:v>
                </c:pt>
                <c:pt idx="222">
                  <c:v>2.4990000000000001</c:v>
                </c:pt>
                <c:pt idx="223">
                  <c:v>2.4940000000000002</c:v>
                </c:pt>
                <c:pt idx="224">
                  <c:v>2.57</c:v>
                </c:pt>
                <c:pt idx="225">
                  <c:v>2.6560000000000001</c:v>
                </c:pt>
                <c:pt idx="226">
                  <c:v>2.7490000000000001</c:v>
                </c:pt>
                <c:pt idx="227">
                  <c:v>2.7759999999999998</c:v>
                </c:pt>
                <c:pt idx="228">
                  <c:v>2.827</c:v>
                </c:pt>
                <c:pt idx="229">
                  <c:v>2.8570000000000002</c:v>
                </c:pt>
                <c:pt idx="230">
                  <c:v>2.863</c:v>
                </c:pt>
                <c:pt idx="231">
                  <c:v>2.863</c:v>
                </c:pt>
                <c:pt idx="232">
                  <c:v>2.9180000000000001</c:v>
                </c:pt>
                <c:pt idx="233">
                  <c:v>2.895</c:v>
                </c:pt>
                <c:pt idx="234">
                  <c:v>2.8849999999999998</c:v>
                </c:pt>
                <c:pt idx="235">
                  <c:v>2.8769999999999998</c:v>
                </c:pt>
                <c:pt idx="236">
                  <c:v>2.92</c:v>
                </c:pt>
                <c:pt idx="237">
                  <c:v>2.8879999999999999</c:v>
                </c:pt>
                <c:pt idx="238">
                  <c:v>2.8330000000000002</c:v>
                </c:pt>
                <c:pt idx="239">
                  <c:v>2.7789999999999999</c:v>
                </c:pt>
                <c:pt idx="240">
                  <c:v>2.72</c:v>
                </c:pt>
                <c:pt idx="241">
                  <c:v>2.8029999999999999</c:v>
                </c:pt>
                <c:pt idx="242">
                  <c:v>2.726</c:v>
                </c:pt>
                <c:pt idx="243">
                  <c:v>2.6019999999999999</c:v>
                </c:pt>
                <c:pt idx="244">
                  <c:v>2.532</c:v>
                </c:pt>
                <c:pt idx="245">
                  <c:v>2.4710000000000001</c:v>
                </c:pt>
                <c:pt idx="246">
                  <c:v>2.4249999999999998</c:v>
                </c:pt>
                <c:pt idx="247">
                  <c:v>2.4180000000000001</c:v>
                </c:pt>
                <c:pt idx="248">
                  <c:v>2.415</c:v>
                </c:pt>
                <c:pt idx="249">
                  <c:v>2.4319999999999999</c:v>
                </c:pt>
                <c:pt idx="250">
                  <c:v>2.3740000000000001</c:v>
                </c:pt>
                <c:pt idx="251">
                  <c:v>2.3260000000000001</c:v>
                </c:pt>
                <c:pt idx="252">
                  <c:v>2.3220000000000001</c:v>
                </c:pt>
                <c:pt idx="253">
                  <c:v>2.335</c:v>
                </c:pt>
                <c:pt idx="254">
                  <c:v>2.2810000000000001</c:v>
                </c:pt>
                <c:pt idx="255">
                  <c:v>2.198</c:v>
                </c:pt>
                <c:pt idx="256">
                  <c:v>2.165</c:v>
                </c:pt>
                <c:pt idx="257">
                  <c:v>2.1589999999999998</c:v>
                </c:pt>
                <c:pt idx="258">
                  <c:v>2.1440000000000001</c:v>
                </c:pt>
                <c:pt idx="259">
                  <c:v>2.133</c:v>
                </c:pt>
                <c:pt idx="260">
                  <c:v>2.141</c:v>
                </c:pt>
                <c:pt idx="261">
                  <c:v>2.1349999999999998</c:v>
                </c:pt>
                <c:pt idx="262">
                  <c:v>2.1040000000000001</c:v>
                </c:pt>
                <c:pt idx="263">
                  <c:v>2.0219999999999998</c:v>
                </c:pt>
                <c:pt idx="264">
                  <c:v>1.9650000000000001</c:v>
                </c:pt>
                <c:pt idx="265">
                  <c:v>1.9319999999999999</c:v>
                </c:pt>
                <c:pt idx="266">
                  <c:v>1.87</c:v>
                </c:pt>
                <c:pt idx="267">
                  <c:v>1.8340000000000001</c:v>
                </c:pt>
                <c:pt idx="268">
                  <c:v>1.837</c:v>
                </c:pt>
                <c:pt idx="269">
                  <c:v>1.887</c:v>
                </c:pt>
                <c:pt idx="270">
                  <c:v>1.9430000000000001</c:v>
                </c:pt>
                <c:pt idx="271">
                  <c:v>2.0619999999999998</c:v>
                </c:pt>
                <c:pt idx="272">
                  <c:v>2.109</c:v>
                </c:pt>
                <c:pt idx="273">
                  <c:v>2.169</c:v>
                </c:pt>
                <c:pt idx="274">
                  <c:v>2.1850000000000001</c:v>
                </c:pt>
                <c:pt idx="275">
                  <c:v>2.173</c:v>
                </c:pt>
                <c:pt idx="276">
                  <c:v>2.2400000000000002</c:v>
                </c:pt>
                <c:pt idx="277">
                  <c:v>2.2650000000000001</c:v>
                </c:pt>
                <c:pt idx="278">
                  <c:v>2.3420000000000001</c:v>
                </c:pt>
                <c:pt idx="279">
                  <c:v>2.3250000000000002</c:v>
                </c:pt>
                <c:pt idx="280">
                  <c:v>2.3450000000000002</c:v>
                </c:pt>
                <c:pt idx="281">
                  <c:v>2.403</c:v>
                </c:pt>
                <c:pt idx="282">
                  <c:v>2.44</c:v>
                </c:pt>
                <c:pt idx="283">
                  <c:v>2.4820000000000002</c:v>
                </c:pt>
                <c:pt idx="284">
                  <c:v>2.4990000000000001</c:v>
                </c:pt>
                <c:pt idx="285">
                  <c:v>2.4550000000000001</c:v>
                </c:pt>
                <c:pt idx="286">
                  <c:v>2.4319999999999999</c:v>
                </c:pt>
                <c:pt idx="287">
                  <c:v>2.3959999999999999</c:v>
                </c:pt>
                <c:pt idx="288">
                  <c:v>2.359</c:v>
                </c:pt>
                <c:pt idx="289">
                  <c:v>2.3359999999999999</c:v>
                </c:pt>
                <c:pt idx="290">
                  <c:v>2.2890000000000001</c:v>
                </c:pt>
                <c:pt idx="291">
                  <c:v>2.2669999999999999</c:v>
                </c:pt>
                <c:pt idx="292">
                  <c:v>2.2559999999999998</c:v>
                </c:pt>
                <c:pt idx="293">
                  <c:v>2.2559999999999998</c:v>
                </c:pt>
                <c:pt idx="294">
                  <c:v>2.2989999999999999</c:v>
                </c:pt>
                <c:pt idx="295">
                  <c:v>2.3410000000000002</c:v>
                </c:pt>
                <c:pt idx="296">
                  <c:v>2.3290000000000002</c:v>
                </c:pt>
                <c:pt idx="297">
                  <c:v>2.31</c:v>
                </c:pt>
                <c:pt idx="298">
                  <c:v>2.3330000000000002</c:v>
                </c:pt>
                <c:pt idx="299">
                  <c:v>2.3340000000000001</c:v>
                </c:pt>
                <c:pt idx="300">
                  <c:v>2.3540000000000001</c:v>
                </c:pt>
                <c:pt idx="301">
                  <c:v>2.3809999999999998</c:v>
                </c:pt>
                <c:pt idx="302">
                  <c:v>2.367</c:v>
                </c:pt>
                <c:pt idx="303">
                  <c:v>2.3530000000000002</c:v>
                </c:pt>
                <c:pt idx="304">
                  <c:v>2.3410000000000002</c:v>
                </c:pt>
                <c:pt idx="305">
                  <c:v>2.3450000000000002</c:v>
                </c:pt>
                <c:pt idx="306">
                  <c:v>2.298</c:v>
                </c:pt>
                <c:pt idx="307">
                  <c:v>2.2690000000000001</c:v>
                </c:pt>
                <c:pt idx="308">
                  <c:v>2.2679999999999998</c:v>
                </c:pt>
                <c:pt idx="309">
                  <c:v>2.3210000000000002</c:v>
                </c:pt>
                <c:pt idx="310">
                  <c:v>2.347</c:v>
                </c:pt>
                <c:pt idx="311">
                  <c:v>2.375</c:v>
                </c:pt>
                <c:pt idx="312">
                  <c:v>2.419</c:v>
                </c:pt>
                <c:pt idx="313">
                  <c:v>2.4849999999999999</c:v>
                </c:pt>
                <c:pt idx="314">
                  <c:v>2.496</c:v>
                </c:pt>
                <c:pt idx="315">
                  <c:v>2.4670000000000001</c:v>
                </c:pt>
                <c:pt idx="316">
                  <c:v>2.4359999999999999</c:v>
                </c:pt>
                <c:pt idx="317">
                  <c:v>2.4079999999999999</c:v>
                </c:pt>
                <c:pt idx="318">
                  <c:v>2.4049999999999998</c:v>
                </c:pt>
                <c:pt idx="319">
                  <c:v>2.4180000000000001</c:v>
                </c:pt>
                <c:pt idx="320">
                  <c:v>2.4140000000000001</c:v>
                </c:pt>
                <c:pt idx="321">
                  <c:v>2.427</c:v>
                </c:pt>
                <c:pt idx="322">
                  <c:v>2.452</c:v>
                </c:pt>
                <c:pt idx="323">
                  <c:v>2.4340000000000002</c:v>
                </c:pt>
                <c:pt idx="324">
                  <c:v>2.4329999999999998</c:v>
                </c:pt>
                <c:pt idx="325">
                  <c:v>2.4279999999999999</c:v>
                </c:pt>
                <c:pt idx="326">
                  <c:v>2.4710000000000001</c:v>
                </c:pt>
                <c:pt idx="327">
                  <c:v>2.5339999999999998</c:v>
                </c:pt>
                <c:pt idx="328">
                  <c:v>2.5459999999999998</c:v>
                </c:pt>
                <c:pt idx="329">
                  <c:v>2.5590000000000002</c:v>
                </c:pt>
                <c:pt idx="330">
                  <c:v>2.5219999999999998</c:v>
                </c:pt>
                <c:pt idx="331">
                  <c:v>2.484</c:v>
                </c:pt>
                <c:pt idx="332">
                  <c:v>2.4809999999999999</c:v>
                </c:pt>
                <c:pt idx="333">
                  <c:v>2.5099999999999998</c:v>
                </c:pt>
                <c:pt idx="334">
                  <c:v>2.516</c:v>
                </c:pt>
                <c:pt idx="335">
                  <c:v>2.5249999999999999</c:v>
                </c:pt>
                <c:pt idx="336">
                  <c:v>2.4790000000000001</c:v>
                </c:pt>
                <c:pt idx="337">
                  <c:v>2.4329999999999998</c:v>
                </c:pt>
                <c:pt idx="338">
                  <c:v>2.4039999999999999</c:v>
                </c:pt>
                <c:pt idx="339">
                  <c:v>2.3759999999999999</c:v>
                </c:pt>
                <c:pt idx="340">
                  <c:v>2.411</c:v>
                </c:pt>
                <c:pt idx="341">
                  <c:v>2.3919999999999999</c:v>
                </c:pt>
                <c:pt idx="342">
                  <c:v>2.4260000000000002</c:v>
                </c:pt>
                <c:pt idx="343">
                  <c:v>2.4670000000000001</c:v>
                </c:pt>
                <c:pt idx="344">
                  <c:v>2.492</c:v>
                </c:pt>
                <c:pt idx="345">
                  <c:v>2.4969999999999999</c:v>
                </c:pt>
                <c:pt idx="346">
                  <c:v>2.4740000000000002</c:v>
                </c:pt>
                <c:pt idx="347">
                  <c:v>2.5129999999999999</c:v>
                </c:pt>
                <c:pt idx="348">
                  <c:v>2.794</c:v>
                </c:pt>
                <c:pt idx="349">
                  <c:v>2.8</c:v>
                </c:pt>
                <c:pt idx="350">
                  <c:v>2.75</c:v>
                </c:pt>
                <c:pt idx="351">
                  <c:v>2.7010000000000001</c:v>
                </c:pt>
                <c:pt idx="352">
                  <c:v>2.6819999999999999</c:v>
                </c:pt>
                <c:pt idx="353">
                  <c:v>2.6219999999999999</c:v>
                </c:pt>
                <c:pt idx="354">
                  <c:v>2.605</c:v>
                </c:pt>
                <c:pt idx="355">
                  <c:v>2.5939999999999999</c:v>
                </c:pt>
                <c:pt idx="356">
                  <c:v>2.6019999999999999</c:v>
                </c:pt>
                <c:pt idx="357">
                  <c:v>2.673</c:v>
                </c:pt>
                <c:pt idx="358">
                  <c:v>2.706</c:v>
                </c:pt>
                <c:pt idx="359">
                  <c:v>2.6829999999999998</c:v>
                </c:pt>
                <c:pt idx="360">
                  <c:v>2.6480000000000001</c:v>
                </c:pt>
                <c:pt idx="361">
                  <c:v>2.617</c:v>
                </c:pt>
                <c:pt idx="362">
                  <c:v>2.601</c:v>
                </c:pt>
                <c:pt idx="363">
                  <c:v>2.5680000000000001</c:v>
                </c:pt>
                <c:pt idx="364">
                  <c:v>2.589</c:v>
                </c:pt>
                <c:pt idx="365">
                  <c:v>2.637</c:v>
                </c:pt>
                <c:pt idx="366">
                  <c:v>2.6389999999999998</c:v>
                </c:pt>
                <c:pt idx="367">
                  <c:v>2.673</c:v>
                </c:pt>
                <c:pt idx="368">
                  <c:v>2.6840000000000002</c:v>
                </c:pt>
                <c:pt idx="369">
                  <c:v>2.7229999999999999</c:v>
                </c:pt>
                <c:pt idx="370">
                  <c:v>2.7530000000000001</c:v>
                </c:pt>
                <c:pt idx="371">
                  <c:v>2.7240000000000002</c:v>
                </c:pt>
                <c:pt idx="372">
                  <c:v>2.6760000000000002</c:v>
                </c:pt>
                <c:pt idx="373">
                  <c:v>2.6659999999999999</c:v>
                </c:pt>
                <c:pt idx="374">
                  <c:v>2.6789999999999998</c:v>
                </c:pt>
                <c:pt idx="375">
                  <c:v>2.677</c:v>
                </c:pt>
                <c:pt idx="376">
                  <c:v>2.7160000000000002</c:v>
                </c:pt>
                <c:pt idx="377">
                  <c:v>2.7639999999999998</c:v>
                </c:pt>
                <c:pt idx="378">
                  <c:v>2.8170000000000002</c:v>
                </c:pt>
                <c:pt idx="379">
                  <c:v>2.8109999999999999</c:v>
                </c:pt>
                <c:pt idx="380">
                  <c:v>2.863</c:v>
                </c:pt>
                <c:pt idx="381">
                  <c:v>2.9140000000000001</c:v>
                </c:pt>
                <c:pt idx="382">
                  <c:v>2.9609999999999999</c:v>
                </c:pt>
                <c:pt idx="383">
                  <c:v>2.96</c:v>
                </c:pt>
                <c:pt idx="384">
                  <c:v>2.9489999999999998</c:v>
                </c:pt>
                <c:pt idx="385">
                  <c:v>2.9990000000000001</c:v>
                </c:pt>
                <c:pt idx="386">
                  <c:v>3.0390000000000001</c:v>
                </c:pt>
                <c:pt idx="387">
                  <c:v>3.0179999999999998</c:v>
                </c:pt>
                <c:pt idx="388">
                  <c:v>2.9889999999999999</c:v>
                </c:pt>
                <c:pt idx="389">
                  <c:v>2.9580000000000002</c:v>
                </c:pt>
                <c:pt idx="390">
                  <c:v>2.9129999999999998</c:v>
                </c:pt>
                <c:pt idx="391">
                  <c:v>2.9239999999999999</c:v>
                </c:pt>
                <c:pt idx="392">
                  <c:v>2.9369999999999998</c:v>
                </c:pt>
                <c:pt idx="393">
                  <c:v>2.9430000000000001</c:v>
                </c:pt>
                <c:pt idx="394">
                  <c:v>2.911</c:v>
                </c:pt>
                <c:pt idx="395">
                  <c:v>2.9239999999999999</c:v>
                </c:pt>
                <c:pt idx="396">
                  <c:v>2.93</c:v>
                </c:pt>
                <c:pt idx="397">
                  <c:v>2.9209999999999998</c:v>
                </c:pt>
                <c:pt idx="398">
                  <c:v>2.9</c:v>
                </c:pt>
                <c:pt idx="399">
                  <c:v>2.9060000000000001</c:v>
                </c:pt>
                <c:pt idx="400">
                  <c:v>2.903</c:v>
                </c:pt>
                <c:pt idx="401">
                  <c:v>2.9119999999999999</c:v>
                </c:pt>
                <c:pt idx="402">
                  <c:v>2.9209999999999998</c:v>
                </c:pt>
                <c:pt idx="403">
                  <c:v>2.923</c:v>
                </c:pt>
                <c:pt idx="404">
                  <c:v>2.9470000000000001</c:v>
                </c:pt>
                <c:pt idx="405">
                  <c:v>2.984</c:v>
                </c:pt>
                <c:pt idx="406">
                  <c:v>2.9609999999999999</c:v>
                </c:pt>
                <c:pt idx="407">
                  <c:v>2.9249999999999998</c:v>
                </c:pt>
                <c:pt idx="408">
                  <c:v>2.8959999999999999</c:v>
                </c:pt>
                <c:pt idx="409">
                  <c:v>2.84</c:v>
                </c:pt>
                <c:pt idx="410">
                  <c:v>2.7730000000000001</c:v>
                </c:pt>
                <c:pt idx="411">
                  <c:v>2.7</c:v>
                </c:pt>
                <c:pt idx="412">
                  <c:v>2.63</c:v>
                </c:pt>
                <c:pt idx="413">
                  <c:v>2.544</c:v>
                </c:pt>
                <c:pt idx="414">
                  <c:v>2.5110000000000001</c:v>
                </c:pt>
                <c:pt idx="415">
                  <c:v>2.46</c:v>
                </c:pt>
                <c:pt idx="416">
                  <c:v>2.4129999999999998</c:v>
                </c:pt>
                <c:pt idx="417">
                  <c:v>2.3580000000000001</c:v>
                </c:pt>
                <c:pt idx="418">
                  <c:v>2.3290000000000002</c:v>
                </c:pt>
                <c:pt idx="419">
                  <c:v>2.3380000000000001</c:v>
                </c:pt>
                <c:pt idx="420">
                  <c:v>2.34</c:v>
                </c:pt>
                <c:pt idx="421">
                  <c:v>2.343</c:v>
                </c:pt>
                <c:pt idx="422">
                  <c:v>2.3410000000000002</c:v>
                </c:pt>
                <c:pt idx="423">
                  <c:v>2.3610000000000002</c:v>
                </c:pt>
                <c:pt idx="424">
                  <c:v>2.4</c:v>
                </c:pt>
                <c:pt idx="425">
                  <c:v>2.4710000000000001</c:v>
                </c:pt>
                <c:pt idx="426">
                  <c:v>2.5019999999999998</c:v>
                </c:pt>
                <c:pt idx="427">
                  <c:v>2.5489999999999999</c:v>
                </c:pt>
                <c:pt idx="428">
                  <c:v>2.625</c:v>
                </c:pt>
                <c:pt idx="429">
                  <c:v>2.7010000000000001</c:v>
                </c:pt>
                <c:pt idx="430">
                  <c:v>2.77</c:v>
                </c:pt>
                <c:pt idx="431">
                  <c:v>2.8260000000000001</c:v>
                </c:pt>
                <c:pt idx="432">
                  <c:v>2.9119999999999999</c:v>
                </c:pt>
                <c:pt idx="433">
                  <c:v>2.9260000000000002</c:v>
                </c:pt>
                <c:pt idx="434">
                  <c:v>2.972</c:v>
                </c:pt>
                <c:pt idx="435">
                  <c:v>2.9830000000000001</c:v>
                </c:pt>
                <c:pt idx="436">
                  <c:v>2.9540000000000002</c:v>
                </c:pt>
                <c:pt idx="437">
                  <c:v>2.9390000000000001</c:v>
                </c:pt>
                <c:pt idx="438">
                  <c:v>2.9089999999999998</c:v>
                </c:pt>
                <c:pt idx="439">
                  <c:v>2.8929999999999998</c:v>
                </c:pt>
                <c:pt idx="440">
                  <c:v>2.8210000000000002</c:v>
                </c:pt>
                <c:pt idx="441">
                  <c:v>2.7589999999999999</c:v>
                </c:pt>
                <c:pt idx="442">
                  <c:v>2.7410000000000001</c:v>
                </c:pt>
                <c:pt idx="443">
                  <c:v>2.798</c:v>
                </c:pt>
                <c:pt idx="444">
                  <c:v>2.827</c:v>
                </c:pt>
                <c:pt idx="445">
                  <c:v>2.86</c:v>
                </c:pt>
                <c:pt idx="446">
                  <c:v>2.8330000000000002</c:v>
                </c:pt>
                <c:pt idx="447">
                  <c:v>2.798</c:v>
                </c:pt>
                <c:pt idx="448">
                  <c:v>2.7719999999999998</c:v>
                </c:pt>
                <c:pt idx="449">
                  <c:v>2.71</c:v>
                </c:pt>
                <c:pt idx="450">
                  <c:v>2.6840000000000002</c:v>
                </c:pt>
                <c:pt idx="451">
                  <c:v>2.661</c:v>
                </c:pt>
                <c:pt idx="452">
                  <c:v>2.6509999999999998</c:v>
                </c:pt>
                <c:pt idx="453">
                  <c:v>2.6379999999999999</c:v>
                </c:pt>
                <c:pt idx="454">
                  <c:v>2.64</c:v>
                </c:pt>
                <c:pt idx="455">
                  <c:v>2.7410000000000001</c:v>
                </c:pt>
                <c:pt idx="456">
                  <c:v>2.7370000000000001</c:v>
                </c:pt>
                <c:pt idx="457">
                  <c:v>2.742</c:v>
                </c:pt>
                <c:pt idx="458">
                  <c:v>2.7269999999999999</c:v>
                </c:pt>
                <c:pt idx="459">
                  <c:v>2.7349999999999999</c:v>
                </c:pt>
                <c:pt idx="460">
                  <c:v>2.6920000000000002</c:v>
                </c:pt>
                <c:pt idx="461">
                  <c:v>2.702</c:v>
                </c:pt>
                <c:pt idx="462">
                  <c:v>2.7109999999999999</c:v>
                </c:pt>
                <c:pt idx="463">
                  <c:v>2.6880000000000002</c:v>
                </c:pt>
                <c:pt idx="464">
                  <c:v>2.6720000000000002</c:v>
                </c:pt>
                <c:pt idx="465">
                  <c:v>2.6669999999999998</c:v>
                </c:pt>
                <c:pt idx="466">
                  <c:v>2.6520000000000001</c:v>
                </c:pt>
                <c:pt idx="467">
                  <c:v>2.6269999999999998</c:v>
                </c:pt>
                <c:pt idx="468">
                  <c:v>2.621</c:v>
                </c:pt>
                <c:pt idx="469">
                  <c:v>2.6579999999999999</c:v>
                </c:pt>
                <c:pt idx="470">
                  <c:v>2.665</c:v>
                </c:pt>
                <c:pt idx="471">
                  <c:v>2.657</c:v>
                </c:pt>
                <c:pt idx="472">
                  <c:v>2.625</c:v>
                </c:pt>
                <c:pt idx="473">
                  <c:v>2.5950000000000002</c:v>
                </c:pt>
                <c:pt idx="474">
                  <c:v>2.5459999999999998</c:v>
                </c:pt>
                <c:pt idx="475">
                  <c:v>2.5110000000000001</c:v>
                </c:pt>
                <c:pt idx="476">
                  <c:v>2.5179999999999998</c:v>
                </c:pt>
                <c:pt idx="477">
                  <c:v>2.5550000000000002</c:v>
                </c:pt>
                <c:pt idx="478">
                  <c:v>2.5139999999999998</c:v>
                </c:pt>
                <c:pt idx="479">
                  <c:v>2.468</c:v>
                </c:pt>
                <c:pt idx="480">
                  <c:v>2.343</c:v>
                </c:pt>
                <c:pt idx="481">
                  <c:v>2.2170000000000001</c:v>
                </c:pt>
                <c:pt idx="482">
                  <c:v>2.1030000000000002</c:v>
                </c:pt>
                <c:pt idx="483">
                  <c:v>2.0219999999999998</c:v>
                </c:pt>
                <c:pt idx="484">
                  <c:v>1.9510000000000001</c:v>
                </c:pt>
                <c:pt idx="485">
                  <c:v>1.91</c:v>
                </c:pt>
                <c:pt idx="486">
                  <c:v>1.87</c:v>
                </c:pt>
                <c:pt idx="487">
                  <c:v>1.883</c:v>
                </c:pt>
                <c:pt idx="488">
                  <c:v>1.9410000000000001</c:v>
                </c:pt>
                <c:pt idx="489">
                  <c:v>1.9690000000000001</c:v>
                </c:pt>
                <c:pt idx="490">
                  <c:v>2.0489999999999999</c:v>
                </c:pt>
                <c:pt idx="491">
                  <c:v>2.0640000000000001</c:v>
                </c:pt>
                <c:pt idx="492">
                  <c:v>2.1230000000000002</c:v>
                </c:pt>
                <c:pt idx="493">
                  <c:v>2.1850000000000001</c:v>
                </c:pt>
                <c:pt idx="494">
                  <c:v>2.2160000000000002</c:v>
                </c:pt>
                <c:pt idx="495">
                  <c:v>2.2599999999999998</c:v>
                </c:pt>
                <c:pt idx="496">
                  <c:v>2.2650000000000001</c:v>
                </c:pt>
                <c:pt idx="497">
                  <c:v>2.2829999999999999</c:v>
                </c:pt>
                <c:pt idx="498">
                  <c:v>2.2749999999999999</c:v>
                </c:pt>
                <c:pt idx="499">
                  <c:v>2.2650000000000001</c:v>
                </c:pt>
                <c:pt idx="500">
                  <c:v>2.266</c:v>
                </c:pt>
                <c:pt idx="501">
                  <c:v>2.2559999999999998</c:v>
                </c:pt>
                <c:pt idx="502">
                  <c:v>2.2559999999999998</c:v>
                </c:pt>
                <c:pt idx="503">
                  <c:v>2.2719999999999998</c:v>
                </c:pt>
                <c:pt idx="504">
                  <c:v>2.3109999999999999</c:v>
                </c:pt>
                <c:pt idx="505">
                  <c:v>2.302</c:v>
                </c:pt>
                <c:pt idx="506">
                  <c:v>2.274</c:v>
                </c:pt>
                <c:pt idx="507">
                  <c:v>2.2589999999999999</c:v>
                </c:pt>
                <c:pt idx="508">
                  <c:v>2.2589999999999999</c:v>
                </c:pt>
                <c:pt idx="509">
                  <c:v>2.262</c:v>
                </c:pt>
                <c:pt idx="510">
                  <c:v>2.2570000000000001</c:v>
                </c:pt>
                <c:pt idx="511">
                  <c:v>2.2400000000000002</c:v>
                </c:pt>
                <c:pt idx="512">
                  <c:v>2.234</c:v>
                </c:pt>
                <c:pt idx="513">
                  <c:v>2.2040000000000002</c:v>
                </c:pt>
                <c:pt idx="514">
                  <c:v>2.1880000000000002</c:v>
                </c:pt>
                <c:pt idx="515">
                  <c:v>2.202</c:v>
                </c:pt>
                <c:pt idx="516">
                  <c:v>2.194</c:v>
                </c:pt>
                <c:pt idx="517">
                  <c:v>2.2109999999999999</c:v>
                </c:pt>
                <c:pt idx="518">
                  <c:v>2.246</c:v>
                </c:pt>
                <c:pt idx="519">
                  <c:v>2.2469999999999999</c:v>
                </c:pt>
                <c:pt idx="520">
                  <c:v>2.3109999999999999</c:v>
                </c:pt>
                <c:pt idx="521">
                  <c:v>2.33</c:v>
                </c:pt>
                <c:pt idx="522">
                  <c:v>2.3359999999999999</c:v>
                </c:pt>
                <c:pt idx="523">
                  <c:v>2.403</c:v>
                </c:pt>
                <c:pt idx="524">
                  <c:v>2.464</c:v>
                </c:pt>
                <c:pt idx="525">
                  <c:v>2.4780000000000002</c:v>
                </c:pt>
                <c:pt idx="526">
                  <c:v>2.4950000000000001</c:v>
                </c:pt>
                <c:pt idx="527">
                  <c:v>2.548</c:v>
                </c:pt>
                <c:pt idx="528">
                  <c:v>2.5880000000000001</c:v>
                </c:pt>
                <c:pt idx="529">
                  <c:v>2.7170000000000001</c:v>
                </c:pt>
                <c:pt idx="530">
                  <c:v>2.7959999999999998</c:v>
                </c:pt>
                <c:pt idx="531">
                  <c:v>2.8570000000000002</c:v>
                </c:pt>
                <c:pt idx="532">
                  <c:v>2.94</c:v>
                </c:pt>
                <c:pt idx="533">
                  <c:v>2.9540000000000002</c:v>
                </c:pt>
                <c:pt idx="534">
                  <c:v>2.9409999999999998</c:v>
                </c:pt>
                <c:pt idx="535">
                  <c:v>2.9449999999999998</c:v>
                </c:pt>
                <c:pt idx="536">
                  <c:v>2.9390000000000001</c:v>
                </c:pt>
                <c:pt idx="537">
                  <c:v>2.9449999999999998</c:v>
                </c:pt>
                <c:pt idx="538">
                  <c:v>2.9620000000000002</c:v>
                </c:pt>
                <c:pt idx="539">
                  <c:v>2.9809999999999999</c:v>
                </c:pt>
                <c:pt idx="540">
                  <c:v>3.0510000000000002</c:v>
                </c:pt>
                <c:pt idx="541">
                  <c:v>3.1179999999999999</c:v>
                </c:pt>
                <c:pt idx="542">
                  <c:v>3.1120000000000001</c:v>
                </c:pt>
                <c:pt idx="543">
                  <c:v>3.1190000000000002</c:v>
                </c:pt>
                <c:pt idx="544">
                  <c:v>3.1280000000000001</c:v>
                </c:pt>
                <c:pt idx="545">
                  <c:v>3.161</c:v>
                </c:pt>
                <c:pt idx="546">
                  <c:v>3.153</c:v>
                </c:pt>
                <c:pt idx="547">
                  <c:v>3.1850000000000001</c:v>
                </c:pt>
                <c:pt idx="548">
                  <c:v>3.2160000000000002</c:v>
                </c:pt>
                <c:pt idx="549">
                  <c:v>3.2269999999999999</c:v>
                </c:pt>
                <c:pt idx="550">
                  <c:v>3.2469999999999999</c:v>
                </c:pt>
                <c:pt idx="551">
                  <c:v>3.2320000000000002</c:v>
                </c:pt>
              </c:numCache>
            </c:numRef>
          </c:val>
          <c:smooth val="0"/>
          <c:extLst>
            <c:ext xmlns:c16="http://schemas.microsoft.com/office/drawing/2014/chart" uri="{C3380CC4-5D6E-409C-BE32-E72D297353CC}">
              <c16:uniqueId val="{00000000-22A8-4A7A-AD3E-3F08BFCCFF26}"/>
            </c:ext>
          </c:extLst>
        </c:ser>
        <c:dLbls>
          <c:showLegendKey val="0"/>
          <c:showVal val="0"/>
          <c:showCatName val="0"/>
          <c:showSerName val="0"/>
          <c:showPercent val="0"/>
          <c:showBubbleSize val="0"/>
        </c:dLbls>
        <c:marker val="1"/>
        <c:smooth val="0"/>
        <c:axId val="1782908128"/>
        <c:axId val="1"/>
      </c:lineChart>
      <c:dateAx>
        <c:axId val="1782908128"/>
        <c:scaling>
          <c:orientation val="minMax"/>
        </c:scaling>
        <c:delete val="0"/>
        <c:axPos val="b"/>
        <c:numFmt formatCode="m/d/yyyy" sourceLinked="0"/>
        <c:majorTickMark val="out"/>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en-US"/>
          </a:p>
        </c:txPr>
        <c:crossAx val="1"/>
        <c:crosses val="autoZero"/>
        <c:auto val="1"/>
        <c:lblOffset val="100"/>
        <c:baseTimeUnit val="days"/>
      </c:dateAx>
      <c:valAx>
        <c:axId val="1"/>
        <c:scaling>
          <c:orientation val="minMax"/>
        </c:scaling>
        <c:delete val="0"/>
        <c:axPos val="l"/>
        <c:title>
          <c:tx>
            <c:rich>
              <a:bodyPr/>
              <a:lstStyle/>
              <a:p>
                <a:pPr>
                  <a:defRPr sz="1000" b="0" i="0" u="none" strike="noStrike" baseline="0">
                    <a:solidFill>
                      <a:srgbClr val="333333"/>
                    </a:solidFill>
                    <a:latin typeface="Calibri"/>
                    <a:ea typeface="Calibri"/>
                    <a:cs typeface="Calibri"/>
                  </a:defRPr>
                </a:pPr>
                <a:r>
                  <a:rPr lang="en-US"/>
                  <a:t>$/gallon</a:t>
                </a:r>
              </a:p>
            </c:rich>
          </c:tx>
          <c:overlay val="0"/>
          <c:spPr>
            <a:noFill/>
            <a:ln w="25400">
              <a:noFill/>
            </a:ln>
          </c:spPr>
        </c:title>
        <c:numFmt formatCode="#,##0.00" sourceLinked="0"/>
        <c:majorTickMark val="none"/>
        <c:minorTickMark val="none"/>
        <c:tickLblPos val="nextTo"/>
        <c:spPr>
          <a:noFill/>
          <a:ln>
            <a:solidFill>
              <a:schemeClr val="bg1">
                <a:lumMod val="75000"/>
              </a:schemeClr>
            </a:solidFill>
          </a:ln>
          <a:effectLst/>
        </c:spPr>
        <c:txPr>
          <a:bodyPr rot="0" vert="horz"/>
          <a:lstStyle/>
          <a:p>
            <a:pPr>
              <a:defRPr sz="900" b="0" i="0" u="none" strike="noStrike" baseline="0">
                <a:solidFill>
                  <a:srgbClr val="333333"/>
                </a:solidFill>
                <a:latin typeface="Calibri"/>
                <a:ea typeface="Calibri"/>
                <a:cs typeface="Calibri"/>
              </a:defRPr>
            </a:pPr>
            <a:endParaRPr lang="en-US"/>
          </a:p>
        </c:txPr>
        <c:crossAx val="1782908128"/>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ProductSupplied!$H$1583</c:f>
              <c:strCache>
                <c:ptCount val="1"/>
                <c:pt idx="0">
                  <c:v>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ProductSupplied!$E$1565:$E$1592</c:f>
              <c:numCache>
                <c:formatCode>General</c:formatCode>
                <c:ptCount val="28"/>
                <c:pt idx="0">
                  <c:v>7532</c:v>
                </c:pt>
                <c:pt idx="1">
                  <c:v>8112</c:v>
                </c:pt>
                <c:pt idx="2">
                  <c:v>7833</c:v>
                </c:pt>
                <c:pt idx="3">
                  <c:v>7770</c:v>
                </c:pt>
                <c:pt idx="4">
                  <c:v>7857</c:v>
                </c:pt>
                <c:pt idx="5">
                  <c:v>8407</c:v>
                </c:pt>
                <c:pt idx="6">
                  <c:v>7207</c:v>
                </c:pt>
                <c:pt idx="7">
                  <c:v>8148</c:v>
                </c:pt>
                <c:pt idx="8">
                  <c:v>8726</c:v>
                </c:pt>
                <c:pt idx="9">
                  <c:v>8442</c:v>
                </c:pt>
                <c:pt idx="10">
                  <c:v>8616</c:v>
                </c:pt>
                <c:pt idx="11">
                  <c:v>8891</c:v>
                </c:pt>
                <c:pt idx="12">
                  <c:v>8781</c:v>
                </c:pt>
                <c:pt idx="13">
                  <c:v>8944</c:v>
                </c:pt>
                <c:pt idx="14">
                  <c:v>9104</c:v>
                </c:pt>
                <c:pt idx="15">
                  <c:v>8877</c:v>
                </c:pt>
                <c:pt idx="16">
                  <c:v>8864</c:v>
                </c:pt>
                <c:pt idx="17">
                  <c:v>8800</c:v>
                </c:pt>
                <c:pt idx="18">
                  <c:v>9224</c:v>
                </c:pt>
                <c:pt idx="19">
                  <c:v>9479</c:v>
                </c:pt>
                <c:pt idx="20">
                  <c:v>9146</c:v>
                </c:pt>
                <c:pt idx="21">
                  <c:v>8480</c:v>
                </c:pt>
                <c:pt idx="22">
                  <c:v>9360</c:v>
                </c:pt>
                <c:pt idx="23">
                  <c:v>9440</c:v>
                </c:pt>
                <c:pt idx="24">
                  <c:v>9173</c:v>
                </c:pt>
                <c:pt idx="25">
                  <c:v>10043</c:v>
                </c:pt>
                <c:pt idx="26">
                  <c:v>9283</c:v>
                </c:pt>
                <c:pt idx="27">
                  <c:v>9295</c:v>
                </c:pt>
              </c:numCache>
            </c:numRef>
          </c:val>
          <c:smooth val="0"/>
          <c:extLst>
            <c:ext xmlns:c16="http://schemas.microsoft.com/office/drawing/2014/chart" uri="{C3380CC4-5D6E-409C-BE32-E72D297353CC}">
              <c16:uniqueId val="{00000000-061C-4350-A836-F616F2B4991A}"/>
            </c:ext>
          </c:extLst>
        </c:ser>
        <c:ser>
          <c:idx val="1"/>
          <c:order val="1"/>
          <c:tx>
            <c:strRef>
              <c:f>ProductSupplied!$H$1582</c:f>
              <c:strCache>
                <c:ptCount val="1"/>
                <c:pt idx="0">
                  <c:v>2020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ProductSupplied!$E$1512:$E$1564</c:f>
              <c:numCache>
                <c:formatCode>General</c:formatCode>
                <c:ptCount val="53"/>
                <c:pt idx="0">
                  <c:v>8133</c:v>
                </c:pt>
                <c:pt idx="1">
                  <c:v>8558</c:v>
                </c:pt>
                <c:pt idx="2">
                  <c:v>8662</c:v>
                </c:pt>
                <c:pt idx="3">
                  <c:v>8793</c:v>
                </c:pt>
                <c:pt idx="4">
                  <c:v>8933</c:v>
                </c:pt>
                <c:pt idx="5">
                  <c:v>8722</c:v>
                </c:pt>
                <c:pt idx="6">
                  <c:v>8918</c:v>
                </c:pt>
                <c:pt idx="7">
                  <c:v>9035</c:v>
                </c:pt>
                <c:pt idx="8">
                  <c:v>9186</c:v>
                </c:pt>
                <c:pt idx="9">
                  <c:v>9449</c:v>
                </c:pt>
                <c:pt idx="10">
                  <c:v>9696</c:v>
                </c:pt>
                <c:pt idx="11">
                  <c:v>8837</c:v>
                </c:pt>
                <c:pt idx="12">
                  <c:v>6659</c:v>
                </c:pt>
                <c:pt idx="13">
                  <c:v>5065</c:v>
                </c:pt>
                <c:pt idx="14">
                  <c:v>5081</c:v>
                </c:pt>
                <c:pt idx="15">
                  <c:v>5311</c:v>
                </c:pt>
                <c:pt idx="16">
                  <c:v>5860</c:v>
                </c:pt>
                <c:pt idx="17">
                  <c:v>6664</c:v>
                </c:pt>
                <c:pt idx="18">
                  <c:v>7398</c:v>
                </c:pt>
                <c:pt idx="19">
                  <c:v>6790</c:v>
                </c:pt>
                <c:pt idx="20">
                  <c:v>7253</c:v>
                </c:pt>
                <c:pt idx="21">
                  <c:v>7549</c:v>
                </c:pt>
                <c:pt idx="22">
                  <c:v>7900</c:v>
                </c:pt>
                <c:pt idx="23">
                  <c:v>7870</c:v>
                </c:pt>
                <c:pt idx="24">
                  <c:v>8608</c:v>
                </c:pt>
                <c:pt idx="25">
                  <c:v>8561</c:v>
                </c:pt>
                <c:pt idx="26">
                  <c:v>8766</c:v>
                </c:pt>
                <c:pt idx="27">
                  <c:v>8648</c:v>
                </c:pt>
                <c:pt idx="28">
                  <c:v>8550</c:v>
                </c:pt>
                <c:pt idx="29">
                  <c:v>8809</c:v>
                </c:pt>
                <c:pt idx="30">
                  <c:v>8617</c:v>
                </c:pt>
                <c:pt idx="31">
                  <c:v>8883</c:v>
                </c:pt>
                <c:pt idx="32">
                  <c:v>8630</c:v>
                </c:pt>
                <c:pt idx="33">
                  <c:v>9161</c:v>
                </c:pt>
                <c:pt idx="34">
                  <c:v>8786</c:v>
                </c:pt>
                <c:pt idx="35">
                  <c:v>8390</c:v>
                </c:pt>
                <c:pt idx="36">
                  <c:v>8478</c:v>
                </c:pt>
                <c:pt idx="37">
                  <c:v>8515</c:v>
                </c:pt>
                <c:pt idx="38">
                  <c:v>8529</c:v>
                </c:pt>
                <c:pt idx="39">
                  <c:v>8896</c:v>
                </c:pt>
                <c:pt idx="40">
                  <c:v>8576</c:v>
                </c:pt>
                <c:pt idx="41">
                  <c:v>8289</c:v>
                </c:pt>
                <c:pt idx="42">
                  <c:v>8545</c:v>
                </c:pt>
                <c:pt idx="43">
                  <c:v>8336</c:v>
                </c:pt>
                <c:pt idx="44">
                  <c:v>8762</c:v>
                </c:pt>
                <c:pt idx="45">
                  <c:v>8258</c:v>
                </c:pt>
                <c:pt idx="46">
                  <c:v>8129</c:v>
                </c:pt>
                <c:pt idx="47">
                  <c:v>7973</c:v>
                </c:pt>
                <c:pt idx="48">
                  <c:v>7600</c:v>
                </c:pt>
                <c:pt idx="49">
                  <c:v>7975</c:v>
                </c:pt>
                <c:pt idx="50">
                  <c:v>8022</c:v>
                </c:pt>
                <c:pt idx="51">
                  <c:v>8128</c:v>
                </c:pt>
                <c:pt idx="52">
                  <c:v>7441</c:v>
                </c:pt>
              </c:numCache>
            </c:numRef>
          </c:val>
          <c:smooth val="0"/>
          <c:extLst>
            <c:ext xmlns:c16="http://schemas.microsoft.com/office/drawing/2014/chart" uri="{C3380CC4-5D6E-409C-BE32-E72D297353CC}">
              <c16:uniqueId val="{00000001-061C-4350-A836-F616F2B4991A}"/>
            </c:ext>
          </c:extLst>
        </c:ser>
        <c:ser>
          <c:idx val="2"/>
          <c:order val="2"/>
          <c:tx>
            <c:strRef>
              <c:f>ProductSupplied!$H$1581</c:f>
              <c:strCache>
                <c:ptCount val="1"/>
                <c:pt idx="0">
                  <c:v>2019</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ProductSupplied!$E$1460:$E$1511</c:f>
              <c:numCache>
                <c:formatCode>General</c:formatCode>
                <c:ptCount val="52"/>
                <c:pt idx="0">
                  <c:v>8735</c:v>
                </c:pt>
                <c:pt idx="1">
                  <c:v>8565</c:v>
                </c:pt>
                <c:pt idx="2">
                  <c:v>8868</c:v>
                </c:pt>
                <c:pt idx="3">
                  <c:v>9564</c:v>
                </c:pt>
                <c:pt idx="4">
                  <c:v>9073</c:v>
                </c:pt>
                <c:pt idx="5">
                  <c:v>8648</c:v>
                </c:pt>
                <c:pt idx="6">
                  <c:v>8800</c:v>
                </c:pt>
                <c:pt idx="7">
                  <c:v>8981</c:v>
                </c:pt>
                <c:pt idx="8">
                  <c:v>9062</c:v>
                </c:pt>
                <c:pt idx="9">
                  <c:v>9140</c:v>
                </c:pt>
                <c:pt idx="10">
                  <c:v>9409</c:v>
                </c:pt>
                <c:pt idx="11">
                  <c:v>9124</c:v>
                </c:pt>
                <c:pt idx="12">
                  <c:v>9131</c:v>
                </c:pt>
                <c:pt idx="13">
                  <c:v>9806</c:v>
                </c:pt>
                <c:pt idx="14">
                  <c:v>9420</c:v>
                </c:pt>
                <c:pt idx="15">
                  <c:v>9409</c:v>
                </c:pt>
                <c:pt idx="16">
                  <c:v>9228</c:v>
                </c:pt>
                <c:pt idx="17">
                  <c:v>9871</c:v>
                </c:pt>
                <c:pt idx="18">
                  <c:v>9148</c:v>
                </c:pt>
                <c:pt idx="19">
                  <c:v>9429</c:v>
                </c:pt>
                <c:pt idx="20">
                  <c:v>9394</c:v>
                </c:pt>
                <c:pt idx="21">
                  <c:v>9441</c:v>
                </c:pt>
                <c:pt idx="22">
                  <c:v>9877</c:v>
                </c:pt>
                <c:pt idx="23">
                  <c:v>9928</c:v>
                </c:pt>
                <c:pt idx="24">
                  <c:v>9466</c:v>
                </c:pt>
                <c:pt idx="25">
                  <c:v>9492</c:v>
                </c:pt>
                <c:pt idx="26">
                  <c:v>9754</c:v>
                </c:pt>
                <c:pt idx="27">
                  <c:v>9214</c:v>
                </c:pt>
                <c:pt idx="28">
                  <c:v>9673</c:v>
                </c:pt>
                <c:pt idx="29">
                  <c:v>9559</c:v>
                </c:pt>
                <c:pt idx="30">
                  <c:v>9651</c:v>
                </c:pt>
                <c:pt idx="31">
                  <c:v>9932</c:v>
                </c:pt>
                <c:pt idx="32">
                  <c:v>9626</c:v>
                </c:pt>
                <c:pt idx="33">
                  <c:v>9900</c:v>
                </c:pt>
                <c:pt idx="34">
                  <c:v>9471</c:v>
                </c:pt>
                <c:pt idx="35">
                  <c:v>9807</c:v>
                </c:pt>
                <c:pt idx="36">
                  <c:v>8939</c:v>
                </c:pt>
                <c:pt idx="37">
                  <c:v>9346</c:v>
                </c:pt>
                <c:pt idx="38">
                  <c:v>9137</c:v>
                </c:pt>
                <c:pt idx="39">
                  <c:v>9460</c:v>
                </c:pt>
                <c:pt idx="40">
                  <c:v>9354</c:v>
                </c:pt>
                <c:pt idx="41">
                  <c:v>9590</c:v>
                </c:pt>
                <c:pt idx="42">
                  <c:v>9784</c:v>
                </c:pt>
                <c:pt idx="43">
                  <c:v>9145</c:v>
                </c:pt>
                <c:pt idx="44">
                  <c:v>9321</c:v>
                </c:pt>
                <c:pt idx="45">
                  <c:v>9192</c:v>
                </c:pt>
                <c:pt idx="46">
                  <c:v>9204</c:v>
                </c:pt>
                <c:pt idx="47">
                  <c:v>9032</c:v>
                </c:pt>
                <c:pt idx="48">
                  <c:v>8882</c:v>
                </c:pt>
                <c:pt idx="49">
                  <c:v>9411</c:v>
                </c:pt>
                <c:pt idx="50">
                  <c:v>9303</c:v>
                </c:pt>
                <c:pt idx="51">
                  <c:v>8961</c:v>
                </c:pt>
              </c:numCache>
            </c:numRef>
          </c:val>
          <c:smooth val="0"/>
          <c:extLst>
            <c:ext xmlns:c16="http://schemas.microsoft.com/office/drawing/2014/chart" uri="{C3380CC4-5D6E-409C-BE32-E72D297353CC}">
              <c16:uniqueId val="{00000002-061C-4350-A836-F616F2B4991A}"/>
            </c:ext>
          </c:extLst>
        </c:ser>
        <c:ser>
          <c:idx val="3"/>
          <c:order val="3"/>
          <c:tx>
            <c:strRef>
              <c:f>ProductSupplied!$H$1580</c:f>
              <c:strCache>
                <c:ptCount val="1"/>
                <c:pt idx="0">
                  <c:v>2018</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ProductSupplied!$E$1408:$E$1459</c:f>
              <c:numCache>
                <c:formatCode>General</c:formatCode>
                <c:ptCount val="52"/>
                <c:pt idx="0">
                  <c:v>8814</c:v>
                </c:pt>
                <c:pt idx="1">
                  <c:v>8668</c:v>
                </c:pt>
                <c:pt idx="2">
                  <c:v>8697</c:v>
                </c:pt>
                <c:pt idx="3">
                  <c:v>9044</c:v>
                </c:pt>
                <c:pt idx="4">
                  <c:v>9110</c:v>
                </c:pt>
                <c:pt idx="5">
                  <c:v>9059</c:v>
                </c:pt>
                <c:pt idx="6">
                  <c:v>9002</c:v>
                </c:pt>
                <c:pt idx="7">
                  <c:v>8860</c:v>
                </c:pt>
                <c:pt idx="8">
                  <c:v>9276</c:v>
                </c:pt>
                <c:pt idx="9">
                  <c:v>9642</c:v>
                </c:pt>
                <c:pt idx="10">
                  <c:v>9324</c:v>
                </c:pt>
                <c:pt idx="11">
                  <c:v>9208</c:v>
                </c:pt>
                <c:pt idx="12">
                  <c:v>9203</c:v>
                </c:pt>
                <c:pt idx="13">
                  <c:v>9273</c:v>
                </c:pt>
                <c:pt idx="14">
                  <c:v>9857</c:v>
                </c:pt>
                <c:pt idx="15">
                  <c:v>9083</c:v>
                </c:pt>
                <c:pt idx="16">
                  <c:v>9090</c:v>
                </c:pt>
                <c:pt idx="17">
                  <c:v>9775</c:v>
                </c:pt>
                <c:pt idx="18">
                  <c:v>9531</c:v>
                </c:pt>
                <c:pt idx="19">
                  <c:v>9689</c:v>
                </c:pt>
                <c:pt idx="20">
                  <c:v>9689</c:v>
                </c:pt>
                <c:pt idx="21">
                  <c:v>8976</c:v>
                </c:pt>
                <c:pt idx="22">
                  <c:v>9879</c:v>
                </c:pt>
                <c:pt idx="23">
                  <c:v>9326</c:v>
                </c:pt>
                <c:pt idx="24">
                  <c:v>9731</c:v>
                </c:pt>
                <c:pt idx="25">
                  <c:v>9869</c:v>
                </c:pt>
                <c:pt idx="26">
                  <c:v>9275</c:v>
                </c:pt>
                <c:pt idx="27">
                  <c:v>9708</c:v>
                </c:pt>
                <c:pt idx="28">
                  <c:v>9846</c:v>
                </c:pt>
                <c:pt idx="29">
                  <c:v>9878</c:v>
                </c:pt>
                <c:pt idx="30">
                  <c:v>9346</c:v>
                </c:pt>
                <c:pt idx="31">
                  <c:v>9512</c:v>
                </c:pt>
                <c:pt idx="32">
                  <c:v>9453</c:v>
                </c:pt>
                <c:pt idx="33">
                  <c:v>9899</c:v>
                </c:pt>
                <c:pt idx="34">
                  <c:v>9734</c:v>
                </c:pt>
                <c:pt idx="35">
                  <c:v>9649</c:v>
                </c:pt>
                <c:pt idx="36">
                  <c:v>9534</c:v>
                </c:pt>
                <c:pt idx="37">
                  <c:v>8987</c:v>
                </c:pt>
                <c:pt idx="38">
                  <c:v>9102</c:v>
                </c:pt>
                <c:pt idx="39">
                  <c:v>9078</c:v>
                </c:pt>
                <c:pt idx="40">
                  <c:v>9182</c:v>
                </c:pt>
                <c:pt idx="41">
                  <c:v>9324</c:v>
                </c:pt>
                <c:pt idx="42">
                  <c:v>9262</c:v>
                </c:pt>
                <c:pt idx="43">
                  <c:v>9099</c:v>
                </c:pt>
                <c:pt idx="44">
                  <c:v>9192</c:v>
                </c:pt>
                <c:pt idx="45">
                  <c:v>9185</c:v>
                </c:pt>
                <c:pt idx="46">
                  <c:v>9188</c:v>
                </c:pt>
                <c:pt idx="47">
                  <c:v>8877</c:v>
                </c:pt>
                <c:pt idx="48">
                  <c:v>9036</c:v>
                </c:pt>
                <c:pt idx="49">
                  <c:v>9243</c:v>
                </c:pt>
                <c:pt idx="50">
                  <c:v>9348</c:v>
                </c:pt>
                <c:pt idx="51">
                  <c:v>8623</c:v>
                </c:pt>
              </c:numCache>
            </c:numRef>
          </c:val>
          <c:smooth val="0"/>
          <c:extLst>
            <c:ext xmlns:c16="http://schemas.microsoft.com/office/drawing/2014/chart" uri="{C3380CC4-5D6E-409C-BE32-E72D297353CC}">
              <c16:uniqueId val="{00000003-061C-4350-A836-F616F2B4991A}"/>
            </c:ext>
          </c:extLst>
        </c:ser>
        <c:dLbls>
          <c:showLegendKey val="0"/>
          <c:showVal val="0"/>
          <c:showCatName val="0"/>
          <c:showSerName val="0"/>
          <c:showPercent val="0"/>
          <c:showBubbleSize val="0"/>
        </c:dLbls>
        <c:marker val="1"/>
        <c:smooth val="0"/>
        <c:axId val="1782896928"/>
        <c:axId val="1"/>
      </c:lineChart>
      <c:catAx>
        <c:axId val="1782896928"/>
        <c:scaling>
          <c:orientation val="minMax"/>
        </c:scaling>
        <c:delete val="0"/>
        <c:axPos val="b"/>
        <c:title>
          <c:tx>
            <c:rich>
              <a:bodyPr/>
              <a:lstStyle/>
              <a:p>
                <a:pPr>
                  <a:defRPr sz="1000" b="0" i="0" u="none" strike="noStrike" baseline="0">
                    <a:solidFill>
                      <a:srgbClr val="333333"/>
                    </a:solidFill>
                    <a:latin typeface="Calibri"/>
                    <a:ea typeface="Calibri"/>
                    <a:cs typeface="Calibri"/>
                  </a:defRPr>
                </a:pPr>
                <a:r>
                  <a:rPr lang="en-US"/>
                  <a:t>Week</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tickLblSkip val="3"/>
        <c:noMultiLvlLbl val="0"/>
      </c:catAx>
      <c:valAx>
        <c:axId val="1"/>
        <c:scaling>
          <c:orientation val="minMax"/>
          <c:min val="4000"/>
        </c:scaling>
        <c:delete val="0"/>
        <c:axPos val="l"/>
        <c:title>
          <c:tx>
            <c:rich>
              <a:bodyPr/>
              <a:lstStyle/>
              <a:p>
                <a:pPr>
                  <a:defRPr sz="1000" b="0" i="0" u="none" strike="noStrike" baseline="0">
                    <a:solidFill>
                      <a:srgbClr val="333333"/>
                    </a:solidFill>
                    <a:latin typeface="Calibri"/>
                    <a:ea typeface="Calibri"/>
                    <a:cs typeface="Calibri"/>
                  </a:defRPr>
                </a:pPr>
                <a:r>
                  <a:rPr lang="en-US"/>
                  <a:t>1,000 barrels per day</a:t>
                </a:r>
              </a:p>
            </c:rich>
          </c:tx>
          <c:overlay val="0"/>
          <c:spPr>
            <a:noFill/>
            <a:ln w="25400">
              <a:noFill/>
            </a:ln>
          </c:spPr>
        </c:title>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1782896928"/>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ProductSupplied!$U$1534</c:f>
              <c:strCache>
                <c:ptCount val="1"/>
                <c:pt idx="0">
                  <c:v>2009-2018</c:v>
                </c:pt>
              </c:strCache>
            </c:strRef>
          </c:tx>
          <c:spPr>
            <a:ln w="19050">
              <a:noFill/>
            </a:ln>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ProductSupplied!$O$1512:$X$1512</c:f>
              <c:numCache>
                <c:formatCode>_(* #,##0_);_(* \(#,##0\);_(* "-"??_);_(@_)</c:formatCode>
                <c:ptCount val="10"/>
                <c:pt idx="0">
                  <c:v>9676.75</c:v>
                </c:pt>
                <c:pt idx="1">
                  <c:v>9760.25</c:v>
                </c:pt>
                <c:pt idx="2">
                  <c:v>9752</c:v>
                </c:pt>
                <c:pt idx="3">
                  <c:v>9542.2000000000007</c:v>
                </c:pt>
                <c:pt idx="4">
                  <c:v>8947.5</c:v>
                </c:pt>
                <c:pt idx="5">
                  <c:v>9039.25</c:v>
                </c:pt>
                <c:pt idx="6">
                  <c:v>8756.25</c:v>
                </c:pt>
                <c:pt idx="7">
                  <c:v>9113.4</c:v>
                </c:pt>
                <c:pt idx="8">
                  <c:v>9414.6</c:v>
                </c:pt>
                <c:pt idx="9">
                  <c:v>9203.4</c:v>
                </c:pt>
              </c:numCache>
            </c:numRef>
          </c:xVal>
          <c:yVal>
            <c:numRef>
              <c:f>ProductSupplied!$O$1527:$X$1527</c:f>
              <c:numCache>
                <c:formatCode>General</c:formatCode>
                <c:ptCount val="10"/>
                <c:pt idx="0">
                  <c:v>1.1651714115535485</c:v>
                </c:pt>
                <c:pt idx="1">
                  <c:v>0.984988619500346</c:v>
                </c:pt>
                <c:pt idx="2">
                  <c:v>0.97704499788723564</c:v>
                </c:pt>
                <c:pt idx="3">
                  <c:v>1.2148917588189874</c:v>
                </c:pt>
                <c:pt idx="4">
                  <c:v>1.557957979945326</c:v>
                </c:pt>
                <c:pt idx="5">
                  <c:v>1.5713623932877478</c:v>
                </c:pt>
                <c:pt idx="6">
                  <c:v>1.5236466413345009</c:v>
                </c:pt>
                <c:pt idx="7">
                  <c:v>1.6470008557869351</c:v>
                </c:pt>
                <c:pt idx="8">
                  <c:v>1.2755926816796641</c:v>
                </c:pt>
                <c:pt idx="9">
                  <c:v>1.2032889431659806</c:v>
                </c:pt>
              </c:numCache>
            </c:numRef>
          </c:yVal>
          <c:smooth val="0"/>
          <c:extLst>
            <c:ext xmlns:c16="http://schemas.microsoft.com/office/drawing/2014/chart" uri="{C3380CC4-5D6E-409C-BE32-E72D297353CC}">
              <c16:uniqueId val="{00000001-C577-4A2E-862A-B7B47D6443A2}"/>
            </c:ext>
          </c:extLst>
        </c:ser>
        <c:ser>
          <c:idx val="1"/>
          <c:order val="1"/>
          <c:tx>
            <c:strRef>
              <c:f>ProductSupplied!$U$1535</c:f>
              <c:strCache>
                <c:ptCount val="1"/>
                <c:pt idx="0">
                  <c:v>2019-2021</c:v>
                </c:pt>
              </c:strCache>
            </c:strRef>
          </c:tx>
          <c:spPr>
            <a:ln w="19050">
              <a:noFill/>
            </a:ln>
          </c:spPr>
          <c:marker>
            <c:symbol val="circle"/>
            <c:size val="5"/>
            <c:spPr>
              <a:solidFill>
                <a:schemeClr val="accent2"/>
              </a:solidFill>
              <a:ln w="9525">
                <a:solidFill>
                  <a:schemeClr val="accent2"/>
                </a:solidFill>
              </a:ln>
              <a:effectLst/>
            </c:spPr>
          </c:marker>
          <c:xVal>
            <c:numRef>
              <c:f>ProductSupplied!$L$1512:$N$1512</c:f>
              <c:numCache>
                <c:formatCode>_(* #,##0_);_(* \(#,##0\);_(* "-"??_);_(@_)</c:formatCode>
                <c:ptCount val="3"/>
                <c:pt idx="0">
                  <c:v>9540.3333333333339</c:v>
                </c:pt>
                <c:pt idx="1">
                  <c:v>8678</c:v>
                </c:pt>
                <c:pt idx="2">
                  <c:v>9550</c:v>
                </c:pt>
              </c:numCache>
            </c:numRef>
          </c:xVal>
          <c:yVal>
            <c:numRef>
              <c:f>ProductSupplied!$L$1527:$N$1527</c:f>
              <c:numCache>
                <c:formatCode>General</c:formatCode>
                <c:ptCount val="3"/>
                <c:pt idx="0">
                  <c:v>1.2133956171772198</c:v>
                </c:pt>
                <c:pt idx="1">
                  <c:v>0.87786011293948552</c:v>
                </c:pt>
                <c:pt idx="2">
                  <c:v>1.1042902790811533</c:v>
                </c:pt>
              </c:numCache>
            </c:numRef>
          </c:yVal>
          <c:smooth val="0"/>
          <c:extLst>
            <c:ext xmlns:c16="http://schemas.microsoft.com/office/drawing/2014/chart" uri="{C3380CC4-5D6E-409C-BE32-E72D297353CC}">
              <c16:uniqueId val="{00000002-C577-4A2E-862A-B7B47D6443A2}"/>
            </c:ext>
          </c:extLst>
        </c:ser>
        <c:dLbls>
          <c:showLegendKey val="0"/>
          <c:showVal val="0"/>
          <c:showCatName val="0"/>
          <c:showSerName val="0"/>
          <c:showPercent val="0"/>
          <c:showBubbleSize val="0"/>
        </c:dLbls>
        <c:axId val="1783263776"/>
        <c:axId val="1"/>
      </c:scatterChart>
      <c:valAx>
        <c:axId val="1783263776"/>
        <c:scaling>
          <c:orientation val="minMax"/>
          <c:min val="8500"/>
        </c:scaling>
        <c:delete val="0"/>
        <c:axPos val="b"/>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en-US"/>
                  <a:t>1,000 Barrels per Day</a:t>
                </a:r>
              </a:p>
            </c:rich>
          </c:tx>
          <c:overlay val="0"/>
          <c:spPr>
            <a:noFill/>
            <a:ln w="25400">
              <a:noFill/>
            </a:ln>
          </c:spPr>
        </c:title>
        <c:numFmt formatCode="_(* #,##0_);_(* \(#,##0\);_(* &quot;-&quot;??_);_(@_)"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
        <c:crosses val="autoZero"/>
        <c:crossBetween val="midCat"/>
      </c:valAx>
      <c:valAx>
        <c:axId val="1"/>
        <c:scaling>
          <c:orientation val="minMax"/>
          <c:min val="0.60000000000000009"/>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en-US"/>
                  <a:t>$/gallon (inflation-adjusted)</a:t>
                </a:r>
              </a:p>
            </c:rich>
          </c:tx>
          <c:overlay val="0"/>
          <c:spPr>
            <a:noFill/>
            <a:ln w="25400">
              <a:noFill/>
            </a:ln>
          </c:sp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783263776"/>
        <c:crosses val="autoZero"/>
        <c:crossBetween val="midCat"/>
      </c:valAx>
      <c:spPr>
        <a:noFill/>
        <a:ln w="25400">
          <a:noFill/>
        </a:ln>
      </c:spPr>
    </c:plotArea>
    <c:legend>
      <c:legendPos val="r"/>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GasolineProduction!$F$2013</c:f>
              <c:strCache>
                <c:ptCount val="1"/>
                <c:pt idx="0">
                  <c:v>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GasolineProduction!$B$1948:$B$2000</c:f>
              <c:numCache>
                <c:formatCode>General</c:formatCode>
                <c:ptCount val="5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numCache>
            </c:numRef>
          </c:cat>
          <c:val>
            <c:numRef>
              <c:f>GasolineProduction!$C$2001:$C$2028</c:f>
              <c:numCache>
                <c:formatCode>General</c:formatCode>
                <c:ptCount val="28"/>
                <c:pt idx="0">
                  <c:v>7512</c:v>
                </c:pt>
                <c:pt idx="1">
                  <c:v>8885</c:v>
                </c:pt>
                <c:pt idx="2">
                  <c:v>8673</c:v>
                </c:pt>
                <c:pt idx="3">
                  <c:v>8420</c:v>
                </c:pt>
                <c:pt idx="4">
                  <c:v>8656</c:v>
                </c:pt>
                <c:pt idx="5">
                  <c:v>9031</c:v>
                </c:pt>
                <c:pt idx="6">
                  <c:v>7736</c:v>
                </c:pt>
                <c:pt idx="7">
                  <c:v>8301</c:v>
                </c:pt>
                <c:pt idx="8">
                  <c:v>9005</c:v>
                </c:pt>
                <c:pt idx="9">
                  <c:v>8877</c:v>
                </c:pt>
                <c:pt idx="10">
                  <c:v>8577</c:v>
                </c:pt>
                <c:pt idx="11">
                  <c:v>9339</c:v>
                </c:pt>
                <c:pt idx="12">
                  <c:v>9279</c:v>
                </c:pt>
                <c:pt idx="13">
                  <c:v>9615</c:v>
                </c:pt>
                <c:pt idx="14">
                  <c:v>9386</c:v>
                </c:pt>
                <c:pt idx="15">
                  <c:v>9629</c:v>
                </c:pt>
                <c:pt idx="16">
                  <c:v>9146</c:v>
                </c:pt>
                <c:pt idx="17">
                  <c:v>9588</c:v>
                </c:pt>
                <c:pt idx="18">
                  <c:v>9753</c:v>
                </c:pt>
                <c:pt idx="19">
                  <c:v>9748</c:v>
                </c:pt>
                <c:pt idx="20">
                  <c:v>9566</c:v>
                </c:pt>
                <c:pt idx="21">
                  <c:v>9431</c:v>
                </c:pt>
                <c:pt idx="22">
                  <c:v>9926</c:v>
                </c:pt>
                <c:pt idx="23">
                  <c:v>10327</c:v>
                </c:pt>
                <c:pt idx="24">
                  <c:v>9578</c:v>
                </c:pt>
                <c:pt idx="25">
                  <c:v>10554</c:v>
                </c:pt>
                <c:pt idx="26">
                  <c:v>9858</c:v>
                </c:pt>
                <c:pt idx="27">
                  <c:v>9130</c:v>
                </c:pt>
              </c:numCache>
            </c:numRef>
          </c:val>
          <c:smooth val="0"/>
          <c:extLst>
            <c:ext xmlns:c16="http://schemas.microsoft.com/office/drawing/2014/chart" uri="{C3380CC4-5D6E-409C-BE32-E72D297353CC}">
              <c16:uniqueId val="{00000000-2194-473B-968D-912C63C4AF16}"/>
            </c:ext>
          </c:extLst>
        </c:ser>
        <c:ser>
          <c:idx val="0"/>
          <c:order val="1"/>
          <c:tx>
            <c:strRef>
              <c:f>GasolineProduction!$F$2012</c:f>
              <c:strCache>
                <c:ptCount val="1"/>
                <c:pt idx="0">
                  <c:v>2020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GasolineProduction!$C$1948:$C$2000</c:f>
              <c:numCache>
                <c:formatCode>General</c:formatCode>
                <c:ptCount val="53"/>
                <c:pt idx="0">
                  <c:v>8887</c:v>
                </c:pt>
                <c:pt idx="1">
                  <c:v>9281</c:v>
                </c:pt>
                <c:pt idx="2">
                  <c:v>9535</c:v>
                </c:pt>
                <c:pt idx="3">
                  <c:v>9158</c:v>
                </c:pt>
                <c:pt idx="4">
                  <c:v>9903</c:v>
                </c:pt>
                <c:pt idx="5">
                  <c:v>9241</c:v>
                </c:pt>
                <c:pt idx="6">
                  <c:v>9525</c:v>
                </c:pt>
                <c:pt idx="7">
                  <c:v>9797</c:v>
                </c:pt>
                <c:pt idx="8">
                  <c:v>9757</c:v>
                </c:pt>
                <c:pt idx="9">
                  <c:v>9956</c:v>
                </c:pt>
                <c:pt idx="10">
                  <c:v>9974</c:v>
                </c:pt>
                <c:pt idx="11">
                  <c:v>8958</c:v>
                </c:pt>
                <c:pt idx="12">
                  <c:v>7456</c:v>
                </c:pt>
                <c:pt idx="13">
                  <c:v>5818</c:v>
                </c:pt>
                <c:pt idx="14">
                  <c:v>5915</c:v>
                </c:pt>
                <c:pt idx="15">
                  <c:v>6205</c:v>
                </c:pt>
                <c:pt idx="16">
                  <c:v>6735</c:v>
                </c:pt>
                <c:pt idx="17">
                  <c:v>6705</c:v>
                </c:pt>
                <c:pt idx="18">
                  <c:v>7497</c:v>
                </c:pt>
                <c:pt idx="19">
                  <c:v>7166</c:v>
                </c:pt>
                <c:pt idx="20">
                  <c:v>7171</c:v>
                </c:pt>
                <c:pt idx="21">
                  <c:v>7779</c:v>
                </c:pt>
                <c:pt idx="22">
                  <c:v>8139</c:v>
                </c:pt>
                <c:pt idx="23">
                  <c:v>8356</c:v>
                </c:pt>
                <c:pt idx="24">
                  <c:v>8794</c:v>
                </c:pt>
                <c:pt idx="25">
                  <c:v>8905</c:v>
                </c:pt>
                <c:pt idx="26">
                  <c:v>9045</c:v>
                </c:pt>
                <c:pt idx="27">
                  <c:v>9095</c:v>
                </c:pt>
                <c:pt idx="28">
                  <c:v>9079</c:v>
                </c:pt>
                <c:pt idx="29">
                  <c:v>9158</c:v>
                </c:pt>
                <c:pt idx="30">
                  <c:v>9300</c:v>
                </c:pt>
                <c:pt idx="31">
                  <c:v>9600</c:v>
                </c:pt>
                <c:pt idx="32">
                  <c:v>9400</c:v>
                </c:pt>
                <c:pt idx="33">
                  <c:v>9518</c:v>
                </c:pt>
                <c:pt idx="34">
                  <c:v>9534</c:v>
                </c:pt>
                <c:pt idx="35">
                  <c:v>8930</c:v>
                </c:pt>
                <c:pt idx="36">
                  <c:v>8819</c:v>
                </c:pt>
                <c:pt idx="37">
                  <c:v>9315</c:v>
                </c:pt>
                <c:pt idx="38">
                  <c:v>8892</c:v>
                </c:pt>
                <c:pt idx="39">
                  <c:v>9522</c:v>
                </c:pt>
                <c:pt idx="40">
                  <c:v>9240</c:v>
                </c:pt>
                <c:pt idx="41">
                  <c:v>8933</c:v>
                </c:pt>
                <c:pt idx="42">
                  <c:v>9095</c:v>
                </c:pt>
                <c:pt idx="43">
                  <c:v>9072</c:v>
                </c:pt>
                <c:pt idx="44">
                  <c:v>9319</c:v>
                </c:pt>
                <c:pt idx="45">
                  <c:v>9064</c:v>
                </c:pt>
                <c:pt idx="46">
                  <c:v>8850</c:v>
                </c:pt>
                <c:pt idx="47">
                  <c:v>8584</c:v>
                </c:pt>
                <c:pt idx="48">
                  <c:v>8340</c:v>
                </c:pt>
                <c:pt idx="49">
                  <c:v>8522</c:v>
                </c:pt>
                <c:pt idx="50">
                  <c:v>8829</c:v>
                </c:pt>
                <c:pt idx="51">
                  <c:v>9191</c:v>
                </c:pt>
                <c:pt idx="52">
                  <c:v>8010</c:v>
                </c:pt>
              </c:numCache>
            </c:numRef>
          </c:val>
          <c:smooth val="0"/>
          <c:extLst>
            <c:ext xmlns:c16="http://schemas.microsoft.com/office/drawing/2014/chart" uri="{C3380CC4-5D6E-409C-BE32-E72D297353CC}">
              <c16:uniqueId val="{00000001-2194-473B-968D-912C63C4AF16}"/>
            </c:ext>
          </c:extLst>
        </c:ser>
        <c:ser>
          <c:idx val="2"/>
          <c:order val="2"/>
          <c:tx>
            <c:strRef>
              <c:f>GasolineProduction!$F$2011</c:f>
              <c:strCache>
                <c:ptCount val="1"/>
                <c:pt idx="0">
                  <c:v>2019</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GasolineProduction!$C$1896:$C$1947</c:f>
              <c:numCache>
                <c:formatCode>General</c:formatCode>
                <c:ptCount val="52"/>
                <c:pt idx="0">
                  <c:v>9392</c:v>
                </c:pt>
                <c:pt idx="1">
                  <c:v>9584</c:v>
                </c:pt>
                <c:pt idx="2">
                  <c:v>9604</c:v>
                </c:pt>
                <c:pt idx="3">
                  <c:v>9904</c:v>
                </c:pt>
                <c:pt idx="4">
                  <c:v>9856</c:v>
                </c:pt>
                <c:pt idx="5">
                  <c:v>9619</c:v>
                </c:pt>
                <c:pt idx="6">
                  <c:v>9489</c:v>
                </c:pt>
                <c:pt idx="7">
                  <c:v>9553</c:v>
                </c:pt>
                <c:pt idx="8">
                  <c:v>9852</c:v>
                </c:pt>
                <c:pt idx="9">
                  <c:v>9735</c:v>
                </c:pt>
                <c:pt idx="10">
                  <c:v>9925</c:v>
                </c:pt>
                <c:pt idx="11">
                  <c:v>9657</c:v>
                </c:pt>
                <c:pt idx="12">
                  <c:v>9813</c:v>
                </c:pt>
                <c:pt idx="13">
                  <c:v>10169</c:v>
                </c:pt>
                <c:pt idx="14">
                  <c:v>9917</c:v>
                </c:pt>
                <c:pt idx="15">
                  <c:v>9781</c:v>
                </c:pt>
                <c:pt idx="16">
                  <c:v>9927</c:v>
                </c:pt>
                <c:pt idx="17">
                  <c:v>10129</c:v>
                </c:pt>
                <c:pt idx="18">
                  <c:v>9912</c:v>
                </c:pt>
                <c:pt idx="19">
                  <c:v>9883</c:v>
                </c:pt>
                <c:pt idx="20">
                  <c:v>9863</c:v>
                </c:pt>
                <c:pt idx="21">
                  <c:v>10049</c:v>
                </c:pt>
                <c:pt idx="22">
                  <c:v>10276</c:v>
                </c:pt>
                <c:pt idx="23">
                  <c:v>10423</c:v>
                </c:pt>
                <c:pt idx="24">
                  <c:v>10512</c:v>
                </c:pt>
                <c:pt idx="25">
                  <c:v>9948</c:v>
                </c:pt>
                <c:pt idx="26">
                  <c:v>10418</c:v>
                </c:pt>
                <c:pt idx="27">
                  <c:v>9855</c:v>
                </c:pt>
                <c:pt idx="28">
                  <c:v>10089</c:v>
                </c:pt>
                <c:pt idx="29">
                  <c:v>10416</c:v>
                </c:pt>
                <c:pt idx="30">
                  <c:v>10421</c:v>
                </c:pt>
                <c:pt idx="31">
                  <c:v>10203</c:v>
                </c:pt>
                <c:pt idx="32">
                  <c:v>9897</c:v>
                </c:pt>
                <c:pt idx="33">
                  <c:v>10660</c:v>
                </c:pt>
                <c:pt idx="34">
                  <c:v>10272</c:v>
                </c:pt>
                <c:pt idx="35">
                  <c:v>10360</c:v>
                </c:pt>
                <c:pt idx="36">
                  <c:v>9451</c:v>
                </c:pt>
                <c:pt idx="37">
                  <c:v>10240</c:v>
                </c:pt>
                <c:pt idx="38">
                  <c:v>10081</c:v>
                </c:pt>
                <c:pt idx="39">
                  <c:v>10066</c:v>
                </c:pt>
                <c:pt idx="40">
                  <c:v>9998</c:v>
                </c:pt>
                <c:pt idx="41">
                  <c:v>10098</c:v>
                </c:pt>
                <c:pt idx="42">
                  <c:v>10184</c:v>
                </c:pt>
                <c:pt idx="43">
                  <c:v>10036</c:v>
                </c:pt>
                <c:pt idx="44">
                  <c:v>10173</c:v>
                </c:pt>
                <c:pt idx="45">
                  <c:v>10053</c:v>
                </c:pt>
                <c:pt idx="46">
                  <c:v>10065</c:v>
                </c:pt>
                <c:pt idx="47">
                  <c:v>9941</c:v>
                </c:pt>
                <c:pt idx="48">
                  <c:v>9753</c:v>
                </c:pt>
                <c:pt idx="49">
                  <c:v>9840</c:v>
                </c:pt>
                <c:pt idx="50">
                  <c:v>10269</c:v>
                </c:pt>
                <c:pt idx="51">
                  <c:v>10173</c:v>
                </c:pt>
              </c:numCache>
            </c:numRef>
          </c:val>
          <c:smooth val="0"/>
          <c:extLst>
            <c:ext xmlns:c16="http://schemas.microsoft.com/office/drawing/2014/chart" uri="{C3380CC4-5D6E-409C-BE32-E72D297353CC}">
              <c16:uniqueId val="{00000002-2194-473B-968D-912C63C4AF16}"/>
            </c:ext>
          </c:extLst>
        </c:ser>
        <c:ser>
          <c:idx val="3"/>
          <c:order val="3"/>
          <c:tx>
            <c:strRef>
              <c:f>GasolineProduction!$F$2010</c:f>
              <c:strCache>
                <c:ptCount val="1"/>
                <c:pt idx="0">
                  <c:v>2018</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GasolineProduction!$C$1844:$C$1895</c:f>
              <c:numCache>
                <c:formatCode>General</c:formatCode>
                <c:ptCount val="52"/>
                <c:pt idx="0">
                  <c:v>9525</c:v>
                </c:pt>
                <c:pt idx="1">
                  <c:v>9710</c:v>
                </c:pt>
                <c:pt idx="2">
                  <c:v>9358</c:v>
                </c:pt>
                <c:pt idx="3">
                  <c:v>9567</c:v>
                </c:pt>
                <c:pt idx="4">
                  <c:v>10085</c:v>
                </c:pt>
                <c:pt idx="5">
                  <c:v>9592</c:v>
                </c:pt>
                <c:pt idx="6">
                  <c:v>10107</c:v>
                </c:pt>
                <c:pt idx="7">
                  <c:v>9391</c:v>
                </c:pt>
                <c:pt idx="8">
                  <c:v>9923</c:v>
                </c:pt>
                <c:pt idx="9">
                  <c:v>10280</c:v>
                </c:pt>
                <c:pt idx="10">
                  <c:v>9932</c:v>
                </c:pt>
                <c:pt idx="11">
                  <c:v>10305</c:v>
                </c:pt>
                <c:pt idx="12">
                  <c:v>10115</c:v>
                </c:pt>
                <c:pt idx="13">
                  <c:v>10150</c:v>
                </c:pt>
                <c:pt idx="14">
                  <c:v>10204</c:v>
                </c:pt>
                <c:pt idx="15">
                  <c:v>9886</c:v>
                </c:pt>
                <c:pt idx="16">
                  <c:v>10045</c:v>
                </c:pt>
                <c:pt idx="17">
                  <c:v>9974</c:v>
                </c:pt>
                <c:pt idx="18">
                  <c:v>10462</c:v>
                </c:pt>
                <c:pt idx="19">
                  <c:v>10052</c:v>
                </c:pt>
                <c:pt idx="20">
                  <c:v>10433</c:v>
                </c:pt>
                <c:pt idx="21">
                  <c:v>9658</c:v>
                </c:pt>
                <c:pt idx="22">
                  <c:v>10451</c:v>
                </c:pt>
                <c:pt idx="23">
                  <c:v>10099</c:v>
                </c:pt>
                <c:pt idx="24">
                  <c:v>10142</c:v>
                </c:pt>
                <c:pt idx="25">
                  <c:v>10311</c:v>
                </c:pt>
                <c:pt idx="26">
                  <c:v>10699</c:v>
                </c:pt>
                <c:pt idx="27">
                  <c:v>10292</c:v>
                </c:pt>
                <c:pt idx="28">
                  <c:v>10255</c:v>
                </c:pt>
                <c:pt idx="29">
                  <c:v>10483</c:v>
                </c:pt>
                <c:pt idx="30">
                  <c:v>9913</c:v>
                </c:pt>
                <c:pt idx="31">
                  <c:v>10234</c:v>
                </c:pt>
                <c:pt idx="32">
                  <c:v>10151</c:v>
                </c:pt>
                <c:pt idx="33">
                  <c:v>10237</c:v>
                </c:pt>
                <c:pt idx="34">
                  <c:v>10215</c:v>
                </c:pt>
                <c:pt idx="35">
                  <c:v>10384</c:v>
                </c:pt>
                <c:pt idx="36">
                  <c:v>10270</c:v>
                </c:pt>
                <c:pt idx="37">
                  <c:v>9832</c:v>
                </c:pt>
                <c:pt idx="38">
                  <c:v>9950</c:v>
                </c:pt>
                <c:pt idx="39">
                  <c:v>9711</c:v>
                </c:pt>
                <c:pt idx="40">
                  <c:v>10430</c:v>
                </c:pt>
                <c:pt idx="41">
                  <c:v>10028</c:v>
                </c:pt>
                <c:pt idx="42">
                  <c:v>10364</c:v>
                </c:pt>
                <c:pt idx="43">
                  <c:v>9714</c:v>
                </c:pt>
                <c:pt idx="44">
                  <c:v>10056</c:v>
                </c:pt>
                <c:pt idx="45">
                  <c:v>10036</c:v>
                </c:pt>
                <c:pt idx="46">
                  <c:v>10168</c:v>
                </c:pt>
                <c:pt idx="47">
                  <c:v>9666</c:v>
                </c:pt>
                <c:pt idx="48">
                  <c:v>10457</c:v>
                </c:pt>
                <c:pt idx="49">
                  <c:v>10334</c:v>
                </c:pt>
                <c:pt idx="50">
                  <c:v>10144</c:v>
                </c:pt>
                <c:pt idx="51">
                  <c:v>9533</c:v>
                </c:pt>
              </c:numCache>
            </c:numRef>
          </c:val>
          <c:smooth val="0"/>
          <c:extLst>
            <c:ext xmlns:c16="http://schemas.microsoft.com/office/drawing/2014/chart" uri="{C3380CC4-5D6E-409C-BE32-E72D297353CC}">
              <c16:uniqueId val="{00000003-2194-473B-968D-912C63C4AF16}"/>
            </c:ext>
          </c:extLst>
        </c:ser>
        <c:dLbls>
          <c:showLegendKey val="0"/>
          <c:showVal val="0"/>
          <c:showCatName val="0"/>
          <c:showSerName val="0"/>
          <c:showPercent val="0"/>
          <c:showBubbleSize val="0"/>
        </c:dLbls>
        <c:marker val="1"/>
        <c:smooth val="0"/>
        <c:axId val="1782892528"/>
        <c:axId val="1"/>
      </c:lineChart>
      <c:catAx>
        <c:axId val="1782892528"/>
        <c:scaling>
          <c:orientation val="minMax"/>
        </c:scaling>
        <c:delete val="0"/>
        <c:axPos val="b"/>
        <c:title>
          <c:tx>
            <c:rich>
              <a:bodyPr/>
              <a:lstStyle/>
              <a:p>
                <a:pPr>
                  <a:defRPr sz="1000" b="0" i="0" u="none" strike="noStrike" baseline="0">
                    <a:solidFill>
                      <a:srgbClr val="333333"/>
                    </a:solidFill>
                    <a:latin typeface="Calibri"/>
                    <a:ea typeface="Calibri"/>
                    <a:cs typeface="Calibri"/>
                  </a:defRPr>
                </a:pPr>
                <a:r>
                  <a:rPr lang="en-US"/>
                  <a:t>Week</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tickLblSkip val="3"/>
        <c:noMultiLvlLbl val="0"/>
      </c:catAx>
      <c:valAx>
        <c:axId val="1"/>
        <c:scaling>
          <c:orientation val="minMax"/>
          <c:min val="5000"/>
        </c:scaling>
        <c:delete val="0"/>
        <c:axPos val="l"/>
        <c:title>
          <c:tx>
            <c:rich>
              <a:bodyPr/>
              <a:lstStyle/>
              <a:p>
                <a:pPr>
                  <a:defRPr sz="1000" b="0" i="0" u="none" strike="noStrike" baseline="0">
                    <a:solidFill>
                      <a:srgbClr val="333333"/>
                    </a:solidFill>
                    <a:latin typeface="Calibri"/>
                    <a:ea typeface="Calibri"/>
                    <a:cs typeface="Calibri"/>
                  </a:defRPr>
                </a:pPr>
                <a:r>
                  <a:rPr lang="en-US"/>
                  <a:t>1,000 barrels per day</a:t>
                </a:r>
              </a:p>
            </c:rich>
          </c:tx>
          <c:overlay val="0"/>
          <c:spPr>
            <a:noFill/>
            <a:ln w="25400">
              <a:noFill/>
            </a:ln>
          </c:spPr>
        </c:title>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1782892528"/>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GasolineStocks!$F$1629</c:f>
              <c:strCache>
                <c:ptCount val="1"/>
                <c:pt idx="0">
                  <c:v>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GasolineStocks!$C$1622:$C$1649</c:f>
              <c:numCache>
                <c:formatCode>General</c:formatCode>
                <c:ptCount val="28"/>
                <c:pt idx="0">
                  <c:v>21821</c:v>
                </c:pt>
                <c:pt idx="1">
                  <c:v>22438</c:v>
                </c:pt>
                <c:pt idx="2">
                  <c:v>23138</c:v>
                </c:pt>
                <c:pt idx="3">
                  <c:v>22702</c:v>
                </c:pt>
                <c:pt idx="4">
                  <c:v>23580</c:v>
                </c:pt>
                <c:pt idx="5">
                  <c:v>24016</c:v>
                </c:pt>
                <c:pt idx="6">
                  <c:v>24437</c:v>
                </c:pt>
                <c:pt idx="7">
                  <c:v>22482</c:v>
                </c:pt>
                <c:pt idx="8">
                  <c:v>20471</c:v>
                </c:pt>
                <c:pt idx="9">
                  <c:v>20899</c:v>
                </c:pt>
                <c:pt idx="10">
                  <c:v>19765</c:v>
                </c:pt>
                <c:pt idx="11">
                  <c:v>19995</c:v>
                </c:pt>
                <c:pt idx="12">
                  <c:v>19062</c:v>
                </c:pt>
                <c:pt idx="13">
                  <c:v>20783</c:v>
                </c:pt>
                <c:pt idx="14">
                  <c:v>19738</c:v>
                </c:pt>
                <c:pt idx="15">
                  <c:v>21464</c:v>
                </c:pt>
                <c:pt idx="16">
                  <c:v>21245</c:v>
                </c:pt>
                <c:pt idx="17">
                  <c:v>21146</c:v>
                </c:pt>
                <c:pt idx="18">
                  <c:v>20812</c:v>
                </c:pt>
                <c:pt idx="19">
                  <c:v>19360</c:v>
                </c:pt>
                <c:pt idx="20">
                  <c:v>19666</c:v>
                </c:pt>
                <c:pt idx="21">
                  <c:v>21004</c:v>
                </c:pt>
                <c:pt idx="22">
                  <c:v>20370</c:v>
                </c:pt>
                <c:pt idx="23">
                  <c:v>20827</c:v>
                </c:pt>
                <c:pt idx="24">
                  <c:v>21647</c:v>
                </c:pt>
                <c:pt idx="25">
                  <c:v>20540</c:v>
                </c:pt>
                <c:pt idx="26">
                  <c:v>20783</c:v>
                </c:pt>
                <c:pt idx="27">
                  <c:v>18446</c:v>
                </c:pt>
              </c:numCache>
            </c:numRef>
          </c:val>
          <c:smooth val="0"/>
          <c:extLst>
            <c:ext xmlns:c16="http://schemas.microsoft.com/office/drawing/2014/chart" uri="{C3380CC4-5D6E-409C-BE32-E72D297353CC}">
              <c16:uniqueId val="{00000000-EB41-465F-85F0-9BB016EDA4D6}"/>
            </c:ext>
          </c:extLst>
        </c:ser>
        <c:ser>
          <c:idx val="1"/>
          <c:order val="1"/>
          <c:tx>
            <c:strRef>
              <c:f>GasolineStocks!$F$1628</c:f>
              <c:strCache>
                <c:ptCount val="1"/>
                <c:pt idx="0">
                  <c:v>2020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GasolineStocks!$C$1569:$C$1621</c:f>
              <c:numCache>
                <c:formatCode>General</c:formatCode>
                <c:ptCount val="53"/>
                <c:pt idx="0">
                  <c:v>26474</c:v>
                </c:pt>
                <c:pt idx="1">
                  <c:v>27351</c:v>
                </c:pt>
                <c:pt idx="2">
                  <c:v>28671</c:v>
                </c:pt>
                <c:pt idx="3">
                  <c:v>27467</c:v>
                </c:pt>
                <c:pt idx="4">
                  <c:v>27776</c:v>
                </c:pt>
                <c:pt idx="5">
                  <c:v>27219</c:v>
                </c:pt>
                <c:pt idx="6">
                  <c:v>26915</c:v>
                </c:pt>
                <c:pt idx="7">
                  <c:v>26711</c:v>
                </c:pt>
                <c:pt idx="8">
                  <c:v>25956</c:v>
                </c:pt>
                <c:pt idx="9">
                  <c:v>25239</c:v>
                </c:pt>
                <c:pt idx="10">
                  <c:v>23726</c:v>
                </c:pt>
                <c:pt idx="11">
                  <c:v>20069</c:v>
                </c:pt>
                <c:pt idx="12">
                  <c:v>21284</c:v>
                </c:pt>
                <c:pt idx="13">
                  <c:v>21522</c:v>
                </c:pt>
                <c:pt idx="14">
                  <c:v>22527</c:v>
                </c:pt>
                <c:pt idx="15">
                  <c:v>24008</c:v>
                </c:pt>
                <c:pt idx="16">
                  <c:v>24510</c:v>
                </c:pt>
                <c:pt idx="17">
                  <c:v>22444</c:v>
                </c:pt>
                <c:pt idx="18">
                  <c:v>22564</c:v>
                </c:pt>
                <c:pt idx="19">
                  <c:v>24469</c:v>
                </c:pt>
                <c:pt idx="20">
                  <c:v>22944</c:v>
                </c:pt>
                <c:pt idx="21">
                  <c:v>24141</c:v>
                </c:pt>
                <c:pt idx="22">
                  <c:v>24529</c:v>
                </c:pt>
                <c:pt idx="23">
                  <c:v>24713</c:v>
                </c:pt>
                <c:pt idx="24">
                  <c:v>24470</c:v>
                </c:pt>
                <c:pt idx="25">
                  <c:v>23684</c:v>
                </c:pt>
                <c:pt idx="26">
                  <c:v>22795</c:v>
                </c:pt>
                <c:pt idx="27">
                  <c:v>22883</c:v>
                </c:pt>
                <c:pt idx="28">
                  <c:v>23438</c:v>
                </c:pt>
                <c:pt idx="29">
                  <c:v>23647</c:v>
                </c:pt>
                <c:pt idx="30">
                  <c:v>23538</c:v>
                </c:pt>
                <c:pt idx="31">
                  <c:v>24018</c:v>
                </c:pt>
                <c:pt idx="32">
                  <c:v>24173</c:v>
                </c:pt>
                <c:pt idx="33">
                  <c:v>23036</c:v>
                </c:pt>
                <c:pt idx="34">
                  <c:v>24862</c:v>
                </c:pt>
                <c:pt idx="35">
                  <c:v>24673</c:v>
                </c:pt>
                <c:pt idx="36">
                  <c:v>23730</c:v>
                </c:pt>
                <c:pt idx="37">
                  <c:v>25247</c:v>
                </c:pt>
                <c:pt idx="38">
                  <c:v>24171</c:v>
                </c:pt>
                <c:pt idx="39">
                  <c:v>23387</c:v>
                </c:pt>
                <c:pt idx="40">
                  <c:v>23036</c:v>
                </c:pt>
                <c:pt idx="41">
                  <c:v>23612</c:v>
                </c:pt>
                <c:pt idx="42">
                  <c:v>24524</c:v>
                </c:pt>
                <c:pt idx="43">
                  <c:v>25407</c:v>
                </c:pt>
                <c:pt idx="44">
                  <c:v>24930</c:v>
                </c:pt>
                <c:pt idx="45">
                  <c:v>26412</c:v>
                </c:pt>
                <c:pt idx="46">
                  <c:v>26203</c:v>
                </c:pt>
                <c:pt idx="47">
                  <c:v>26076</c:v>
                </c:pt>
                <c:pt idx="48">
                  <c:v>25543</c:v>
                </c:pt>
                <c:pt idx="49">
                  <c:v>24518</c:v>
                </c:pt>
                <c:pt idx="50">
                  <c:v>25667</c:v>
                </c:pt>
                <c:pt idx="51">
                  <c:v>27353</c:v>
                </c:pt>
                <c:pt idx="52">
                  <c:v>25262</c:v>
                </c:pt>
              </c:numCache>
            </c:numRef>
          </c:val>
          <c:smooth val="0"/>
          <c:extLst>
            <c:ext xmlns:c16="http://schemas.microsoft.com/office/drawing/2014/chart" uri="{C3380CC4-5D6E-409C-BE32-E72D297353CC}">
              <c16:uniqueId val="{00000001-EB41-465F-85F0-9BB016EDA4D6}"/>
            </c:ext>
          </c:extLst>
        </c:ser>
        <c:ser>
          <c:idx val="2"/>
          <c:order val="2"/>
          <c:tx>
            <c:strRef>
              <c:f>GasolineStocks!$F$1627</c:f>
              <c:strCache>
                <c:ptCount val="1"/>
                <c:pt idx="0">
                  <c:v>2019</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GasolineStocks!$C$1517:$C$1568</c:f>
              <c:numCache>
                <c:formatCode>General</c:formatCode>
                <c:ptCount val="52"/>
                <c:pt idx="0">
                  <c:v>25704</c:v>
                </c:pt>
                <c:pt idx="1">
                  <c:v>27391</c:v>
                </c:pt>
                <c:pt idx="2">
                  <c:v>28813</c:v>
                </c:pt>
                <c:pt idx="3">
                  <c:v>26998</c:v>
                </c:pt>
                <c:pt idx="4">
                  <c:v>26585</c:v>
                </c:pt>
                <c:pt idx="5">
                  <c:v>27050</c:v>
                </c:pt>
                <c:pt idx="6">
                  <c:v>26867</c:v>
                </c:pt>
                <c:pt idx="7">
                  <c:v>25310</c:v>
                </c:pt>
                <c:pt idx="8">
                  <c:v>24542</c:v>
                </c:pt>
                <c:pt idx="9">
                  <c:v>22956</c:v>
                </c:pt>
                <c:pt idx="10">
                  <c:v>22327</c:v>
                </c:pt>
                <c:pt idx="11">
                  <c:v>21412</c:v>
                </c:pt>
                <c:pt idx="12">
                  <c:v>21933</c:v>
                </c:pt>
                <c:pt idx="13">
                  <c:v>20593</c:v>
                </c:pt>
                <c:pt idx="14">
                  <c:v>20754</c:v>
                </c:pt>
                <c:pt idx="15">
                  <c:v>20682</c:v>
                </c:pt>
                <c:pt idx="16">
                  <c:v>21325</c:v>
                </c:pt>
                <c:pt idx="17">
                  <c:v>20823</c:v>
                </c:pt>
                <c:pt idx="18">
                  <c:v>21330</c:v>
                </c:pt>
                <c:pt idx="19">
                  <c:v>22923</c:v>
                </c:pt>
                <c:pt idx="20">
                  <c:v>22829</c:v>
                </c:pt>
                <c:pt idx="21">
                  <c:v>23246</c:v>
                </c:pt>
                <c:pt idx="22">
                  <c:v>22690</c:v>
                </c:pt>
                <c:pt idx="23">
                  <c:v>21895</c:v>
                </c:pt>
                <c:pt idx="24">
                  <c:v>22710</c:v>
                </c:pt>
                <c:pt idx="25">
                  <c:v>22332</c:v>
                </c:pt>
                <c:pt idx="26">
                  <c:v>22445</c:v>
                </c:pt>
                <c:pt idx="27">
                  <c:v>22697</c:v>
                </c:pt>
                <c:pt idx="28">
                  <c:v>21841</c:v>
                </c:pt>
                <c:pt idx="29">
                  <c:v>22580</c:v>
                </c:pt>
                <c:pt idx="30">
                  <c:v>22903</c:v>
                </c:pt>
                <c:pt idx="31">
                  <c:v>22811</c:v>
                </c:pt>
                <c:pt idx="32">
                  <c:v>21755</c:v>
                </c:pt>
                <c:pt idx="33">
                  <c:v>22267</c:v>
                </c:pt>
                <c:pt idx="34">
                  <c:v>22223</c:v>
                </c:pt>
                <c:pt idx="35">
                  <c:v>22733</c:v>
                </c:pt>
                <c:pt idx="36">
                  <c:v>21873</c:v>
                </c:pt>
                <c:pt idx="37">
                  <c:v>22549</c:v>
                </c:pt>
                <c:pt idx="38">
                  <c:v>23415</c:v>
                </c:pt>
                <c:pt idx="39">
                  <c:v>23269</c:v>
                </c:pt>
                <c:pt idx="40">
                  <c:v>22966</c:v>
                </c:pt>
                <c:pt idx="41">
                  <c:v>22796</c:v>
                </c:pt>
                <c:pt idx="42">
                  <c:v>22048</c:v>
                </c:pt>
                <c:pt idx="43">
                  <c:v>22207</c:v>
                </c:pt>
                <c:pt idx="44">
                  <c:v>23175</c:v>
                </c:pt>
                <c:pt idx="45">
                  <c:v>23054</c:v>
                </c:pt>
                <c:pt idx="46">
                  <c:v>24092</c:v>
                </c:pt>
                <c:pt idx="47">
                  <c:v>24613</c:v>
                </c:pt>
                <c:pt idx="48">
                  <c:v>24645</c:v>
                </c:pt>
                <c:pt idx="49">
                  <c:v>23582</c:v>
                </c:pt>
                <c:pt idx="50">
                  <c:v>24759</c:v>
                </c:pt>
                <c:pt idx="51">
                  <c:v>26181</c:v>
                </c:pt>
              </c:numCache>
            </c:numRef>
          </c:val>
          <c:smooth val="0"/>
          <c:extLst>
            <c:ext xmlns:c16="http://schemas.microsoft.com/office/drawing/2014/chart" uri="{C3380CC4-5D6E-409C-BE32-E72D297353CC}">
              <c16:uniqueId val="{00000002-EB41-465F-85F0-9BB016EDA4D6}"/>
            </c:ext>
          </c:extLst>
        </c:ser>
        <c:ser>
          <c:idx val="3"/>
          <c:order val="3"/>
          <c:tx>
            <c:strRef>
              <c:f>GasolineStocks!$F$1626</c:f>
              <c:strCache>
                <c:ptCount val="1"/>
                <c:pt idx="0">
                  <c:v>2018</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GasolineStocks!$C$1465:$C$1516</c:f>
              <c:numCache>
                <c:formatCode>General</c:formatCode>
                <c:ptCount val="52"/>
                <c:pt idx="0">
                  <c:v>24375</c:v>
                </c:pt>
                <c:pt idx="1">
                  <c:v>25124</c:v>
                </c:pt>
                <c:pt idx="2">
                  <c:v>24019</c:v>
                </c:pt>
                <c:pt idx="3">
                  <c:v>23449</c:v>
                </c:pt>
                <c:pt idx="4">
                  <c:v>24511</c:v>
                </c:pt>
                <c:pt idx="5">
                  <c:v>24182</c:v>
                </c:pt>
                <c:pt idx="6">
                  <c:v>25891</c:v>
                </c:pt>
                <c:pt idx="7">
                  <c:v>25921</c:v>
                </c:pt>
                <c:pt idx="8">
                  <c:v>25169</c:v>
                </c:pt>
                <c:pt idx="9">
                  <c:v>24215</c:v>
                </c:pt>
                <c:pt idx="10">
                  <c:v>24533</c:v>
                </c:pt>
                <c:pt idx="11">
                  <c:v>24577</c:v>
                </c:pt>
                <c:pt idx="12">
                  <c:v>24259</c:v>
                </c:pt>
                <c:pt idx="13">
                  <c:v>25014</c:v>
                </c:pt>
                <c:pt idx="14">
                  <c:v>23168</c:v>
                </c:pt>
                <c:pt idx="15">
                  <c:v>23304</c:v>
                </c:pt>
                <c:pt idx="16">
                  <c:v>23750</c:v>
                </c:pt>
                <c:pt idx="17">
                  <c:v>21785</c:v>
                </c:pt>
                <c:pt idx="18">
                  <c:v>21907</c:v>
                </c:pt>
                <c:pt idx="19">
                  <c:v>22015</c:v>
                </c:pt>
                <c:pt idx="20">
                  <c:v>22786</c:v>
                </c:pt>
                <c:pt idx="21">
                  <c:v>23848</c:v>
                </c:pt>
                <c:pt idx="22">
                  <c:v>23700</c:v>
                </c:pt>
                <c:pt idx="23">
                  <c:v>24983</c:v>
                </c:pt>
                <c:pt idx="24">
                  <c:v>23636</c:v>
                </c:pt>
                <c:pt idx="25">
                  <c:v>23400</c:v>
                </c:pt>
                <c:pt idx="26">
                  <c:v>25188</c:v>
                </c:pt>
                <c:pt idx="27">
                  <c:v>24237</c:v>
                </c:pt>
                <c:pt idx="28">
                  <c:v>22628</c:v>
                </c:pt>
                <c:pt idx="29">
                  <c:v>23364</c:v>
                </c:pt>
                <c:pt idx="30">
                  <c:v>24220</c:v>
                </c:pt>
                <c:pt idx="31">
                  <c:v>23162</c:v>
                </c:pt>
                <c:pt idx="32">
                  <c:v>23933</c:v>
                </c:pt>
                <c:pt idx="33">
                  <c:v>22329</c:v>
                </c:pt>
                <c:pt idx="34">
                  <c:v>23046</c:v>
                </c:pt>
                <c:pt idx="35">
                  <c:v>24521</c:v>
                </c:pt>
                <c:pt idx="36">
                  <c:v>24862</c:v>
                </c:pt>
                <c:pt idx="37">
                  <c:v>24523</c:v>
                </c:pt>
                <c:pt idx="38">
                  <c:v>25440</c:v>
                </c:pt>
                <c:pt idx="39">
                  <c:v>23720</c:v>
                </c:pt>
                <c:pt idx="40">
                  <c:v>24684</c:v>
                </c:pt>
                <c:pt idx="41">
                  <c:v>23209</c:v>
                </c:pt>
                <c:pt idx="42">
                  <c:v>24219</c:v>
                </c:pt>
                <c:pt idx="43">
                  <c:v>23727</c:v>
                </c:pt>
                <c:pt idx="44">
                  <c:v>24975</c:v>
                </c:pt>
                <c:pt idx="45">
                  <c:v>25114</c:v>
                </c:pt>
                <c:pt idx="46">
                  <c:v>24614</c:v>
                </c:pt>
                <c:pt idx="47">
                  <c:v>23206</c:v>
                </c:pt>
                <c:pt idx="48">
                  <c:v>24349</c:v>
                </c:pt>
                <c:pt idx="49">
                  <c:v>25592</c:v>
                </c:pt>
                <c:pt idx="50">
                  <c:v>25568</c:v>
                </c:pt>
                <c:pt idx="51">
                  <c:v>25914</c:v>
                </c:pt>
              </c:numCache>
            </c:numRef>
          </c:val>
          <c:smooth val="0"/>
          <c:extLst>
            <c:ext xmlns:c16="http://schemas.microsoft.com/office/drawing/2014/chart" uri="{C3380CC4-5D6E-409C-BE32-E72D297353CC}">
              <c16:uniqueId val="{00000003-EB41-465F-85F0-9BB016EDA4D6}"/>
            </c:ext>
          </c:extLst>
        </c:ser>
        <c:dLbls>
          <c:showLegendKey val="0"/>
          <c:showVal val="0"/>
          <c:showCatName val="0"/>
          <c:showSerName val="0"/>
          <c:showPercent val="0"/>
          <c:showBubbleSize val="0"/>
        </c:dLbls>
        <c:marker val="1"/>
        <c:smooth val="0"/>
        <c:axId val="1782902928"/>
        <c:axId val="1"/>
      </c:lineChart>
      <c:catAx>
        <c:axId val="1782902928"/>
        <c:scaling>
          <c:orientation val="minMax"/>
        </c:scaling>
        <c:delete val="0"/>
        <c:axPos val="b"/>
        <c:title>
          <c:tx>
            <c:rich>
              <a:bodyPr/>
              <a:lstStyle/>
              <a:p>
                <a:pPr>
                  <a:defRPr sz="1000" b="0" i="0" u="none" strike="noStrike" baseline="0">
                    <a:solidFill>
                      <a:srgbClr val="333333"/>
                    </a:solidFill>
                    <a:latin typeface="Calibri"/>
                    <a:ea typeface="Calibri"/>
                    <a:cs typeface="Calibri"/>
                  </a:defRPr>
                </a:pPr>
                <a:r>
                  <a:rPr lang="en-US"/>
                  <a:t>Week</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tickLblSkip val="3"/>
        <c:noMultiLvlLbl val="0"/>
      </c:catAx>
      <c:valAx>
        <c:axId val="1"/>
        <c:scaling>
          <c:orientation val="minMax"/>
          <c:min val="15000"/>
        </c:scaling>
        <c:delete val="0"/>
        <c:axPos val="l"/>
        <c:title>
          <c:tx>
            <c:rich>
              <a:bodyPr/>
              <a:lstStyle/>
              <a:p>
                <a:pPr>
                  <a:defRPr sz="1000" b="0" i="0" u="none" strike="noStrike" baseline="0">
                    <a:solidFill>
                      <a:srgbClr val="333333"/>
                    </a:solidFill>
                    <a:latin typeface="Calibri"/>
                    <a:ea typeface="Calibri"/>
                    <a:cs typeface="Calibri"/>
                  </a:defRPr>
                </a:pPr>
                <a:r>
                  <a:rPr lang="en-US"/>
                  <a:t>1,000 barrels</a:t>
                </a:r>
              </a:p>
            </c:rich>
          </c:tx>
          <c:overlay val="0"/>
          <c:spPr>
            <a:noFill/>
            <a:ln w="25400">
              <a:noFill/>
            </a:ln>
          </c:spPr>
        </c:title>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1782902928"/>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0.50995</cdr:x>
      <cdr:y>0.34925</cdr:y>
    </cdr:from>
    <cdr:to>
      <cdr:x>0.61256</cdr:x>
      <cdr:y>0.44478</cdr:y>
    </cdr:to>
    <cdr:sp macro="" textlink="">
      <cdr:nvSpPr>
        <cdr:cNvPr id="2" name="Text Box 2"/>
        <cdr:cNvSpPr txBox="1">
          <a:spLocks xmlns:a="http://schemas.openxmlformats.org/drawingml/2006/main" noChangeArrowheads="1"/>
        </cdr:cNvSpPr>
      </cdr:nvSpPr>
      <cdr:spPr bwMode="auto">
        <a:xfrm xmlns:a="http://schemas.openxmlformats.org/drawingml/2006/main">
          <a:off x="2603500" y="1114425"/>
          <a:ext cx="523875" cy="3048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a:lnSpc>
              <a:spcPct val="107000"/>
            </a:lnSpc>
            <a:spcBef>
              <a:spcPts val="0"/>
            </a:spcBef>
            <a:spcAft>
              <a:spcPts val="800"/>
            </a:spcAft>
          </a:pPr>
          <a:r>
            <a:rPr lang="en-US" sz="1100">
              <a:effectLst/>
              <a:latin typeface="Calibri" panose="020F0502020204030204" pitchFamily="34" charset="0"/>
              <a:ea typeface="Calibri" panose="020F0502020204030204" pitchFamily="34" charset="0"/>
              <a:cs typeface="Times New Roman" panose="02020603050405020304" pitchFamily="18" charset="0"/>
            </a:rPr>
            <a:t>2021</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1031</Words>
  <Characters>5878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 Anderson</dc:creator>
  <cp:keywords/>
  <dc:description/>
  <cp:lastModifiedBy>Mary F Hightower</cp:lastModifiedBy>
  <cp:revision>2</cp:revision>
  <dcterms:created xsi:type="dcterms:W3CDTF">2021-08-02T20:13:00Z</dcterms:created>
  <dcterms:modified xsi:type="dcterms:W3CDTF">2021-08-02T20:13:00Z</dcterms:modified>
</cp:coreProperties>
</file>